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jc w:val="center"/>
        <w:rPr>
          <w:rFonts w:ascii="Verdana" w:hAnsi="Verdana" w:cs="Arial"/>
          <w:b/>
          <w:bCs/>
          <w:sz w:val="20"/>
          <w:szCs w:val="20"/>
        </w:rPr>
      </w:pPr>
      <w:r>
        <w:rPr>
          <w:rFonts w:cs="Arial" w:ascii="Verdana" w:hAnsi="Verdana"/>
          <w:b/>
          <w:bCs/>
          <w:sz w:val="20"/>
          <w:szCs w:val="20"/>
        </w:rPr>
      </w:r>
    </w:p>
    <w:p>
      <w:pPr>
        <w:pStyle w:val="Normal"/>
        <w:spacing w:lineRule="auto" w:line="276" w:before="57" w:after="57"/>
        <w:jc w:val="center"/>
        <w:rPr>
          <w:rFonts w:ascii="Verdana" w:hAnsi="Verdana"/>
          <w:sz w:val="20"/>
          <w:szCs w:val="20"/>
        </w:rPr>
      </w:pPr>
      <w:r>
        <w:rPr>
          <w:rFonts w:cs="Arial" w:ascii="Verdana" w:hAnsi="Verdana"/>
          <w:b/>
          <w:bCs/>
          <w:sz w:val="20"/>
          <w:szCs w:val="20"/>
        </w:rPr>
        <w:t>AVISO DE DISPENSA ELETRÔNICA Nº 0109/2024</w:t>
      </w:r>
    </w:p>
    <w:p>
      <w:pPr>
        <w:pStyle w:val="Normal"/>
        <w:spacing w:lineRule="auto" w:line="276" w:before="57" w:after="57"/>
        <w:jc w:val="center"/>
        <w:rPr>
          <w:rFonts w:ascii="Verdana" w:hAnsi="Verdana"/>
          <w:sz w:val="20"/>
          <w:szCs w:val="20"/>
        </w:rPr>
      </w:pPr>
      <w:r>
        <w:rPr>
          <w:rFonts w:cs="Arial" w:ascii="Verdana" w:hAnsi="Verdana"/>
          <w:b/>
          <w:bCs/>
          <w:sz w:val="20"/>
          <w:szCs w:val="20"/>
        </w:rPr>
        <w:t>(Processo Administrativo n.º 007636/2024 de 23/10/2024)</w:t>
      </w:r>
    </w:p>
    <w:p>
      <w:pPr>
        <w:pStyle w:val="Normal"/>
        <w:spacing w:lineRule="auto" w:line="276" w:before="57" w:after="57"/>
        <w:rPr>
          <w:rFonts w:ascii="Verdana" w:hAnsi="Verdana" w:cs="Arial"/>
          <w:sz w:val="20"/>
          <w:szCs w:val="20"/>
        </w:rPr>
      </w:pPr>
      <w:r>
        <w:rPr>
          <w:rFonts w:cs="Arial" w:ascii="Verdana" w:hAnsi="Verdana"/>
          <w:sz w:val="20"/>
          <w:szCs w:val="20"/>
        </w:rPr>
      </w:r>
    </w:p>
    <w:p>
      <w:pPr>
        <w:pStyle w:val="Normal"/>
        <w:snapToGrid w:val="false"/>
        <w:spacing w:lineRule="auto" w:line="276" w:before="57" w:after="57"/>
        <w:ind w:firstLine="540" w:right="-30"/>
        <w:jc w:val="both"/>
        <w:rPr>
          <w:rFonts w:ascii="Verdana" w:hAnsi="Verdana"/>
          <w:sz w:val="20"/>
          <w:szCs w:val="20"/>
        </w:rPr>
      </w:pPr>
      <w:r>
        <w:rPr>
          <w:rFonts w:cs="Arial" w:ascii="Verdana" w:hAnsi="Verdana"/>
          <w:sz w:val="20"/>
          <w:szCs w:val="20"/>
        </w:rPr>
        <w:t>Torna-se público que o(a)</w:t>
      </w:r>
      <w:r>
        <w:rPr>
          <w:rFonts w:eastAsia="Arial" w:cs="Arial" w:ascii="Verdana" w:hAnsi="Verdana"/>
          <w:sz w:val="20"/>
          <w:szCs w:val="20"/>
        </w:rPr>
        <w:t xml:space="preserve"> a Prefeitura Municipal de São Gabriel da Palha-ES</w:t>
      </w:r>
      <w:r>
        <w:rPr>
          <w:rFonts w:cs="Arial" w:ascii="Verdana" w:hAnsi="Verdana"/>
          <w:sz w:val="20"/>
          <w:szCs w:val="20"/>
        </w:rPr>
        <w:t xml:space="preserve">, por meio da Secretaria Municipal de Serviços Urbanos e Transporte, realizará Dispensa Eletrônica, </w:t>
      </w:r>
      <w:r>
        <w:rPr>
          <w:rFonts w:cs="Arial" w:ascii="Verdana" w:hAnsi="Verdana"/>
          <w:bCs/>
          <w:sz w:val="20"/>
          <w:szCs w:val="20"/>
        </w:rPr>
        <w:t xml:space="preserve">com critério de julgamento </w:t>
      </w:r>
      <w:r>
        <w:rPr>
          <w:rFonts w:cs="Arial" w:ascii="Verdana" w:hAnsi="Verdana"/>
          <w:b/>
          <w:bCs/>
          <w:i/>
          <w:sz w:val="20"/>
          <w:szCs w:val="20"/>
        </w:rPr>
        <w:t xml:space="preserve">menor preço por item, </w:t>
      </w:r>
      <w:r>
        <w:rPr>
          <w:rFonts w:cs="Arial" w:ascii="Verdana" w:hAnsi="Verdana"/>
          <w:sz w:val="20"/>
          <w:szCs w:val="20"/>
        </w:rPr>
        <w:t>na hipótese do art. 75</w:t>
      </w:r>
      <w:r>
        <w:rPr>
          <w:rFonts w:cs="Arial" w:ascii="Verdana" w:hAnsi="Verdana"/>
          <w:i/>
          <w:iCs/>
          <w:sz w:val="20"/>
          <w:szCs w:val="20"/>
        </w:rPr>
        <w:t>, Inciso</w:t>
      </w:r>
      <w:r>
        <w:rPr>
          <w:rFonts w:cs="Arial" w:ascii="Verdana" w:hAnsi="Verdana"/>
          <w:b/>
          <w:i/>
          <w:iCs/>
          <w:sz w:val="20"/>
          <w:szCs w:val="20"/>
        </w:rPr>
        <w:t xml:space="preserve"> II</w:t>
      </w:r>
      <w:r>
        <w:rPr>
          <w:rFonts w:cs="Arial" w:ascii="Verdana" w:hAnsi="Verdana"/>
          <w:i/>
          <w:iCs/>
          <w:sz w:val="20"/>
          <w:szCs w:val="20"/>
        </w:rPr>
        <w:t>,</w:t>
      </w:r>
      <w:r>
        <w:rPr>
          <w:rFonts w:cs="Arial" w:ascii="Verdana" w:hAnsi="Verdana"/>
          <w:sz w:val="20"/>
          <w:szCs w:val="20"/>
        </w:rPr>
        <w:t xml:space="preserve"> </w:t>
      </w:r>
      <w:r>
        <w:rPr>
          <w:rFonts w:cs="Arial" w:ascii="Verdana" w:hAnsi="Verdana"/>
          <w:bCs/>
          <w:sz w:val="20"/>
          <w:szCs w:val="20"/>
        </w:rPr>
        <w:t>nos termos da Lei nº 14.133, de 1º de abril de 2021, e demais legislação aplicável</w:t>
      </w:r>
      <w:r>
        <w:rPr>
          <w:rFonts w:cs="Arial" w:ascii="Verdana" w:hAnsi="Verdana"/>
          <w:sz w:val="20"/>
          <w:szCs w:val="20"/>
        </w:rPr>
        <w:t>.</w:t>
      </w:r>
    </w:p>
    <w:p>
      <w:pPr>
        <w:pStyle w:val="Normal"/>
        <w:spacing w:lineRule="auto" w:line="276" w:before="57" w:after="57"/>
        <w:jc w:val="both"/>
        <w:rPr>
          <w:rFonts w:ascii="Verdana" w:hAnsi="Verdana" w:cs="Arial"/>
          <w:sz w:val="20"/>
          <w:szCs w:val="20"/>
        </w:rPr>
      </w:pPr>
      <w:r>
        <w:rPr>
          <w:rFonts w:cs="Arial" w:ascii="Verdana" w:hAnsi="Verdana"/>
          <w:sz w:val="20"/>
          <w:szCs w:val="20"/>
        </w:rPr>
      </w:r>
    </w:p>
    <w:p>
      <w:pPr>
        <w:pStyle w:val="Normal"/>
        <w:spacing w:lineRule="auto" w:line="276" w:before="57" w:after="57"/>
        <w:jc w:val="both"/>
        <w:rPr>
          <w:rFonts w:ascii="Verdana" w:hAnsi="Verdana"/>
          <w:sz w:val="20"/>
          <w:szCs w:val="20"/>
        </w:rPr>
      </w:pPr>
      <w:r>
        <w:rPr>
          <w:rFonts w:cs="Arial" w:ascii="Verdana" w:hAnsi="Verdana"/>
          <w:b/>
          <w:bCs/>
          <w:sz w:val="20"/>
          <w:szCs w:val="20"/>
        </w:rPr>
        <w:t xml:space="preserve">Data da sessão: </w:t>
      </w:r>
      <w:r>
        <w:rPr>
          <w:rFonts w:cs="Arial" w:ascii="Verdana" w:hAnsi="Verdana"/>
          <w:b/>
          <w:bCs/>
          <w:sz w:val="20"/>
          <w:szCs w:val="20"/>
        </w:rPr>
        <w:t>14/01/2025</w:t>
      </w:r>
      <w:r>
        <w:rPr>
          <w:rFonts w:cs="Arial" w:ascii="Verdana" w:hAnsi="Verdana"/>
          <w:b/>
          <w:bCs/>
          <w:sz w:val="20"/>
          <w:szCs w:val="20"/>
        </w:rPr>
        <w:t>.</w:t>
      </w:r>
    </w:p>
    <w:p>
      <w:pPr>
        <w:pStyle w:val="Normal"/>
        <w:spacing w:lineRule="auto" w:line="276" w:before="57" w:after="57"/>
        <w:rPr/>
      </w:pPr>
      <w:r>
        <w:rPr>
          <w:rFonts w:cs="Arial" w:ascii="Verdana" w:hAnsi="Verdana"/>
          <w:b/>
          <w:bCs/>
          <w:sz w:val="20"/>
          <w:szCs w:val="20"/>
        </w:rPr>
        <w:t xml:space="preserve">Link: </w:t>
      </w:r>
      <w:hyperlink r:id="rId2">
        <w:r>
          <w:rPr>
            <w:rStyle w:val="Hyperlink"/>
            <w:rFonts w:ascii="Verdana" w:hAnsi="Verdana"/>
            <w:b/>
            <w:bCs/>
            <w:color w:val="auto"/>
            <w:sz w:val="20"/>
            <w:szCs w:val="20"/>
            <w:u w:val="none"/>
          </w:rPr>
          <w:t>www.portaldecompraspublicas.com.br</w:t>
        </w:r>
      </w:hyperlink>
    </w:p>
    <w:p>
      <w:pPr>
        <w:pStyle w:val="Normal"/>
        <w:spacing w:lineRule="auto" w:line="276" w:before="57" w:after="57"/>
        <w:rPr>
          <w:rFonts w:ascii="Verdana" w:hAnsi="Verdana"/>
          <w:sz w:val="20"/>
          <w:szCs w:val="20"/>
        </w:rPr>
      </w:pPr>
      <w:r>
        <w:rPr>
          <w:rFonts w:cs="Arial" w:ascii="Verdana" w:hAnsi="Verdana"/>
          <w:b/>
          <w:bCs/>
          <w:sz w:val="20"/>
          <w:szCs w:val="20"/>
        </w:rPr>
        <w:t xml:space="preserve">Horário da Fase de Lances: </w:t>
      </w:r>
      <w:r>
        <w:rPr>
          <w:rFonts w:cs="Arial" w:ascii="Verdana" w:hAnsi="Verdana"/>
          <w:b/>
          <w:bCs/>
          <w:sz w:val="20"/>
          <w:szCs w:val="20"/>
        </w:rPr>
        <w:t>08h00</w:t>
      </w:r>
      <w:r>
        <w:rPr>
          <w:rFonts w:cs="Arial" w:ascii="Verdana" w:hAnsi="Verdana"/>
          <w:b/>
          <w:bCs/>
          <w:sz w:val="20"/>
          <w:szCs w:val="20"/>
        </w:rPr>
        <w:t xml:space="preserve">min as </w:t>
      </w:r>
      <w:r>
        <w:rPr>
          <w:rFonts w:cs="Arial" w:ascii="Verdana" w:hAnsi="Verdana"/>
          <w:b/>
          <w:bCs/>
          <w:sz w:val="20"/>
          <w:szCs w:val="20"/>
        </w:rPr>
        <w:t>14</w:t>
      </w:r>
      <w:r>
        <w:rPr>
          <w:rFonts w:cs="Arial" w:ascii="Verdana" w:hAnsi="Verdana"/>
          <w:b/>
          <w:bCs/>
          <w:sz w:val="20"/>
          <w:szCs w:val="20"/>
        </w:rPr>
        <w:t>h</w:t>
      </w:r>
      <w:r>
        <w:rPr>
          <w:rFonts w:cs="Arial" w:ascii="Verdana" w:hAnsi="Verdana"/>
          <w:b/>
          <w:bCs/>
          <w:sz w:val="20"/>
          <w:szCs w:val="20"/>
        </w:rPr>
        <w:t>00</w:t>
      </w:r>
      <w:r>
        <w:rPr>
          <w:rFonts w:cs="Arial" w:ascii="Verdana" w:hAnsi="Verdana"/>
          <w:b/>
          <w:bCs/>
          <w:sz w:val="20"/>
          <w:szCs w:val="20"/>
        </w:rPr>
        <w:t>min.</w:t>
      </w:r>
    </w:p>
    <w:p>
      <w:pPr>
        <w:pStyle w:val="Normal"/>
        <w:spacing w:lineRule="auto" w:line="276" w:before="57" w:after="57"/>
        <w:rPr>
          <w:rFonts w:ascii="Verdana" w:hAnsi="Verdana" w:cs="Arial"/>
          <w:sz w:val="20"/>
          <w:szCs w:val="20"/>
        </w:rPr>
      </w:pPr>
      <w:r>
        <w:rPr>
          <w:rFonts w:cs="Arial" w:ascii="Verdana" w:hAnsi="Verdana"/>
          <w:sz w:val="20"/>
          <w:szCs w:val="20"/>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lineRule="auto" w:line="276" w:before="57" w:after="57"/>
        <w:ind w:hanging="0" w:left="0"/>
        <w:rPr>
          <w:rFonts w:ascii="Verdana" w:hAnsi="Verdana"/>
          <w:sz w:val="20"/>
          <w:szCs w:val="20"/>
        </w:rPr>
      </w:pPr>
      <w:bookmarkStart w:id="0" w:name="_Hlk158282862"/>
      <w:r>
        <w:rPr>
          <w:rFonts w:cs="Arial" w:ascii="Verdana" w:hAnsi="Verdana"/>
          <w:sz w:val="20"/>
          <w:szCs w:val="20"/>
        </w:rPr>
        <w:t xml:space="preserve">O objeto da presente dispensa é a escolha da proposta mais vantajosa para </w:t>
      </w:r>
      <w:bookmarkStart w:id="1" w:name="_Hlk158284997"/>
      <w:r>
        <w:rPr>
          <w:rFonts w:cs="Arial" w:ascii="Verdana" w:hAnsi="Verdana"/>
          <w:sz w:val="20"/>
          <w:szCs w:val="20"/>
        </w:rPr>
        <w:t xml:space="preserve">a </w:t>
      </w:r>
      <w:bookmarkStart w:id="2" w:name="_Hlk184198833"/>
      <w:bookmarkEnd w:id="1"/>
      <w:r>
        <w:rPr>
          <w:rFonts w:ascii="Verdana" w:hAnsi="Verdana"/>
          <w:iCs/>
          <w:sz w:val="20"/>
          <w:szCs w:val="20"/>
        </w:rPr>
        <w:t xml:space="preserve">aquisição </w:t>
      </w:r>
      <w:r>
        <w:rPr>
          <w:rFonts w:eastAsia="Times New Roman" w:cs="Times New Roman" w:ascii="Verdana" w:hAnsi="Verdana"/>
          <w:iCs/>
          <w:sz w:val="20"/>
          <w:szCs w:val="20"/>
          <w:lang w:eastAsia="pt-BR" w:bidi="ar-SA"/>
        </w:rPr>
        <w:t xml:space="preserve">de </w:t>
      </w:r>
      <w:r>
        <w:rPr>
          <w:rFonts w:eastAsia="Arial" w:cs="Arial" w:ascii="Verdana" w:hAnsi="Verdana"/>
          <w:iCs/>
          <w:sz w:val="20"/>
          <w:szCs w:val="20"/>
          <w:lang w:eastAsia="pt-BR" w:bidi="ar-SA"/>
        </w:rPr>
        <w:t>óleo lubrificante para motocicleta 4 tempos, 20W-50 para os veículos que compões a frota de veículos do Departamento de Limpeza Pública da Secretária Municipal de Serviços Urbanos e Transporte</w:t>
      </w:r>
      <w:r>
        <w:rPr>
          <w:rFonts w:eastAsia="Times New Roman" w:cs="Times New Roman" w:ascii="Verdana" w:hAnsi="Verdana"/>
          <w:iCs/>
          <w:sz w:val="20"/>
          <w:szCs w:val="20"/>
        </w:rPr>
        <w:t>, deste município</w:t>
      </w:r>
      <w:bookmarkEnd w:id="2"/>
      <w:r>
        <w:rPr>
          <w:rFonts w:cs="Verdana" w:ascii="Verdana" w:hAnsi="Verdana"/>
          <w:sz w:val="20"/>
          <w:szCs w:val="20"/>
        </w:rPr>
        <w:t>,</w:t>
      </w:r>
      <w:r>
        <w:rPr>
          <w:rFonts w:cs="Arial" w:ascii="Verdana" w:hAnsi="Verdana"/>
          <w:sz w:val="20"/>
          <w:szCs w:val="20"/>
        </w:rPr>
        <w:t xml:space="preserve"> conforme condições, quantidades e exigências estabelecidas neste Aviso de Contratação Direta e seus anexos.</w:t>
      </w:r>
      <w:bookmarkEnd w:id="0"/>
    </w:p>
    <w:tbl>
      <w:tblPr>
        <w:tblW w:w="9841" w:type="dxa"/>
        <w:jc w:val="left"/>
        <w:tblInd w:w="37" w:type="dxa"/>
        <w:tblLayout w:type="fixed"/>
        <w:tblCellMar>
          <w:top w:w="0" w:type="dxa"/>
          <w:left w:w="70" w:type="dxa"/>
          <w:bottom w:w="0" w:type="dxa"/>
          <w:right w:w="70" w:type="dxa"/>
        </w:tblCellMar>
        <w:tblLook w:firstRow="0" w:noVBand="0" w:lastRow="0" w:firstColumn="0" w:lastColumn="0" w:noHBand="0" w:val="0000"/>
      </w:tblPr>
      <w:tblGrid>
        <w:gridCol w:w="769"/>
        <w:gridCol w:w="7199"/>
        <w:gridCol w:w="836"/>
        <w:gridCol w:w="1036"/>
      </w:tblGrid>
      <w:tr>
        <w:trPr>
          <w:trHeight w:val="465" w:hRule="atLeast"/>
        </w:trPr>
        <w:tc>
          <w:tcPr>
            <w:tcW w:w="7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57" w:after="57"/>
              <w:jc w:val="both"/>
              <w:rPr>
                <w:rFonts w:ascii="Verdana" w:hAnsi="Verdana"/>
                <w:sz w:val="20"/>
                <w:szCs w:val="20"/>
              </w:rPr>
            </w:pPr>
            <w:r>
              <w:rPr>
                <w:rFonts w:cs="Arial" w:ascii="Verdana" w:hAnsi="Verdana"/>
                <w:b/>
                <w:bCs/>
                <w:sz w:val="20"/>
                <w:szCs w:val="20"/>
              </w:rPr>
              <w:t>ITEM</w:t>
            </w:r>
          </w:p>
        </w:tc>
        <w:tc>
          <w:tcPr>
            <w:tcW w:w="71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57" w:after="57"/>
              <w:jc w:val="center"/>
              <w:rPr>
                <w:rFonts w:ascii="Verdana" w:hAnsi="Verdana"/>
                <w:sz w:val="20"/>
                <w:szCs w:val="20"/>
              </w:rPr>
            </w:pPr>
            <w:r>
              <w:rPr>
                <w:rFonts w:cs="Arial" w:ascii="Verdana" w:hAnsi="Verdana"/>
                <w:b/>
                <w:bCs/>
                <w:sz w:val="20"/>
                <w:szCs w:val="20"/>
              </w:rPr>
              <w:t>DESCRIÇÃO</w:t>
            </w:r>
          </w:p>
        </w:tc>
        <w:tc>
          <w:tcPr>
            <w:tcW w:w="8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57" w:after="57"/>
              <w:jc w:val="both"/>
              <w:rPr>
                <w:rFonts w:ascii="Verdana" w:hAnsi="Verdana"/>
                <w:sz w:val="20"/>
                <w:szCs w:val="20"/>
              </w:rPr>
            </w:pPr>
            <w:r>
              <w:rPr>
                <w:rFonts w:cs="Arial" w:ascii="Verdana" w:hAnsi="Verdana"/>
                <w:b/>
                <w:bCs/>
                <w:sz w:val="20"/>
                <w:szCs w:val="20"/>
              </w:rPr>
              <w:t>UND.</w:t>
            </w:r>
          </w:p>
        </w:tc>
        <w:tc>
          <w:tcPr>
            <w:tcW w:w="1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57" w:after="57"/>
              <w:jc w:val="both"/>
              <w:rPr>
                <w:rFonts w:ascii="Verdana" w:hAnsi="Verdana"/>
                <w:sz w:val="20"/>
                <w:szCs w:val="20"/>
              </w:rPr>
            </w:pPr>
            <w:r>
              <w:rPr>
                <w:rFonts w:cs="Times New Roman" w:ascii="Verdana" w:hAnsi="Verdana"/>
                <w:b/>
                <w:bCs/>
                <w:sz w:val="20"/>
                <w:szCs w:val="20"/>
              </w:rPr>
              <w:t>QUANT</w:t>
            </w:r>
          </w:p>
        </w:tc>
      </w:tr>
      <w:tr>
        <w:trPr>
          <w:trHeight w:val="345" w:hRule="atLeast"/>
        </w:trPr>
        <w:tc>
          <w:tcPr>
            <w:tcW w:w="7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57" w:after="57"/>
              <w:jc w:val="center"/>
              <w:rPr>
                <w:rFonts w:ascii="Verdana" w:hAnsi="Verdana"/>
                <w:sz w:val="20"/>
                <w:szCs w:val="20"/>
              </w:rPr>
            </w:pPr>
            <w:r>
              <w:rPr>
                <w:rFonts w:ascii="Verdana" w:hAnsi="Verdana"/>
                <w:sz w:val="20"/>
                <w:szCs w:val="20"/>
              </w:rPr>
              <w:t>01</w:t>
            </w:r>
          </w:p>
        </w:tc>
        <w:tc>
          <w:tcPr>
            <w:tcW w:w="719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57" w:after="57"/>
              <w:jc w:val="both"/>
              <w:rPr>
                <w:rFonts w:ascii="Verdana" w:hAnsi="Verdana"/>
                <w:sz w:val="20"/>
                <w:szCs w:val="20"/>
              </w:rPr>
            </w:pPr>
            <w:r>
              <w:rPr>
                <w:rFonts w:ascii="Verdana" w:hAnsi="Verdana"/>
                <w:sz w:val="20"/>
                <w:szCs w:val="20"/>
              </w:rPr>
              <w:t>Óleo lubrificante para motocicleta 4 tempos, 20W-50</w:t>
            </w:r>
          </w:p>
        </w:tc>
        <w:tc>
          <w:tcPr>
            <w:tcW w:w="8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57" w:after="57"/>
              <w:jc w:val="center"/>
              <w:rPr>
                <w:rFonts w:ascii="Verdana" w:hAnsi="Verdana"/>
                <w:sz w:val="20"/>
                <w:szCs w:val="20"/>
              </w:rPr>
            </w:pPr>
            <w:r>
              <w:rPr>
                <w:rFonts w:ascii="Verdana" w:hAnsi="Verdana"/>
                <w:sz w:val="20"/>
                <w:szCs w:val="20"/>
              </w:rPr>
              <w:t>Lt.</w:t>
            </w:r>
          </w:p>
        </w:tc>
        <w:tc>
          <w:tcPr>
            <w:tcW w:w="1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57" w:after="57"/>
              <w:jc w:val="center"/>
              <w:rPr>
                <w:rFonts w:ascii="Verdana" w:hAnsi="Verdana"/>
                <w:sz w:val="20"/>
                <w:szCs w:val="20"/>
              </w:rPr>
            </w:pPr>
            <w:r>
              <w:rPr>
                <w:rFonts w:ascii="Verdana" w:hAnsi="Verdana"/>
                <w:sz w:val="20"/>
                <w:szCs w:val="20"/>
              </w:rPr>
              <w:t>12</w:t>
            </w:r>
          </w:p>
        </w:tc>
      </w:tr>
    </w:tbl>
    <w:p>
      <w:pPr>
        <w:pStyle w:val="PADRO"/>
        <w:keepNext w:val="false"/>
        <w:widowControl/>
        <w:numPr>
          <w:ilvl w:val="1"/>
          <w:numId w:val="1"/>
        </w:numPr>
        <w:shd w:val="clear" w:color="auto" w:fill="auto"/>
        <w:spacing w:lineRule="auto" w:line="276" w:before="57" w:after="57"/>
        <w:ind w:hanging="0" w:left="0"/>
        <w:rPr>
          <w:rFonts w:ascii="Verdana" w:hAnsi="Verdana"/>
          <w:sz w:val="20"/>
          <w:szCs w:val="20"/>
        </w:rPr>
      </w:pPr>
      <w:r>
        <w:rPr>
          <w:rFonts w:cs="Arial" w:ascii="Verdana" w:hAnsi="Verdana"/>
          <w:sz w:val="20"/>
          <w:szCs w:val="20"/>
        </w:rPr>
        <w:t xml:space="preserve"> </w:t>
      </w:r>
      <w:r>
        <w:rPr>
          <w:rFonts w:cs="Arial" w:ascii="Verdana" w:hAnsi="Verdana"/>
          <w:sz w:val="20"/>
          <w:szCs w:val="20"/>
        </w:rPr>
        <w:t>O critério de julgamento adotado será o</w:t>
      </w:r>
      <w:r>
        <w:rPr>
          <w:rFonts w:cs="Arial" w:ascii="Verdana" w:hAnsi="Verdana"/>
          <w:i/>
          <w:iCs/>
          <w:sz w:val="20"/>
          <w:szCs w:val="20"/>
        </w:rPr>
        <w:t xml:space="preserve"> </w:t>
      </w:r>
      <w:r>
        <w:rPr>
          <w:rFonts w:cs="Arial" w:ascii="Verdana" w:hAnsi="Verdana"/>
          <w:b/>
          <w:bCs/>
          <w:i/>
          <w:sz w:val="20"/>
          <w:szCs w:val="20"/>
        </w:rPr>
        <w:t>menor preço por item</w:t>
      </w:r>
      <w:r>
        <w:rPr>
          <w:rFonts w:cs="Arial" w:ascii="Verdana" w:hAnsi="Verdana"/>
          <w:b/>
          <w:bCs/>
          <w:i/>
          <w:iCs/>
          <w:sz w:val="20"/>
          <w:szCs w:val="20"/>
        </w:rPr>
        <w:t>,</w:t>
      </w:r>
      <w:r>
        <w:rPr>
          <w:rFonts w:cs="Arial" w:ascii="Verdana" w:hAnsi="Verdana"/>
          <w:sz w:val="20"/>
          <w:szCs w:val="20"/>
        </w:rPr>
        <w:t xml:space="preserve"> observadas as exigências contidas neste Aviso de Contratação Direta e seus Anexos quanto às especificações do objeto.</w:t>
      </w:r>
    </w:p>
    <w:p>
      <w:pPr>
        <w:pStyle w:val="PADRO"/>
        <w:keepNext w:val="false"/>
        <w:widowControl/>
        <w:shd w:val="clear" w:color="auto" w:fill="auto"/>
        <w:spacing w:lineRule="auto" w:line="276" w:before="57" w:after="57"/>
        <w:ind w:hanging="0"/>
        <w:rPr>
          <w:rFonts w:ascii="Verdana" w:hAnsi="Verdana" w:cs="Arial"/>
          <w:sz w:val="20"/>
          <w:szCs w:val="20"/>
        </w:rPr>
      </w:pPr>
      <w:r>
        <w:rPr>
          <w:rFonts w:cs="Arial" w:ascii="Verdana" w:hAnsi="Verdana"/>
          <w:sz w:val="20"/>
          <w:szCs w:val="20"/>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PARTICIPAÇÃO NA DISPENSA ELETRÔNICA</w:t>
      </w:r>
    </w:p>
    <w:p>
      <w:pPr>
        <w:pStyle w:val="Normal"/>
        <w:numPr>
          <w:ilvl w:val="1"/>
          <w:numId w:val="1"/>
        </w:numPr>
        <w:snapToGrid w:val="false"/>
        <w:spacing w:lineRule="auto" w:line="276" w:before="57" w:after="57"/>
        <w:ind w:hanging="0" w:left="0"/>
        <w:jc w:val="both"/>
        <w:rPr>
          <w:rFonts w:ascii="Verdana" w:hAnsi="Verdana"/>
          <w:sz w:val="20"/>
          <w:szCs w:val="20"/>
        </w:rPr>
      </w:pPr>
      <w:r>
        <w:rPr>
          <w:rFonts w:eastAsia="Calibri" w:cs="ArialMT" w:ascii="Verdana" w:hAnsi="Verdana" w:eastAsiaTheme="minorHAnsi"/>
          <w:sz w:val="20"/>
          <w:szCs w:val="20"/>
          <w:lang w:eastAsia="en-US"/>
        </w:rPr>
        <w:t>Os fornecedores deverão se cadastrar previamente no Portal de Compras Públicas para acesso ao sistema e operacionalização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 xml:space="preserve">Os fornecedores deverão atender aos procedimentos previstos no Manual do Sistema </w:t>
      </w:r>
      <w:r>
        <w:rPr>
          <w:rFonts w:cs="Arial" w:ascii="Verdana" w:hAnsi="Verdana"/>
          <w:sz w:val="20"/>
          <w:szCs w:val="20"/>
        </w:rPr>
        <w:t>de</w:t>
      </w:r>
      <w:r>
        <w:rPr>
          <w:rFonts w:ascii="Verdana" w:hAnsi="Verdana"/>
          <w:sz w:val="20"/>
          <w:szCs w:val="20"/>
        </w:rPr>
        <w:t xml:space="preserve"> Dispensa Eletrônica, disponível no Portal de Compras do Governo Federal, para acesso ao sistema e operacionalização;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57" w:after="57"/>
        <w:ind w:hanging="0" w:left="0"/>
        <w:jc w:val="both"/>
        <w:rPr>
          <w:rFonts w:ascii="Verdana" w:hAnsi="Verdana"/>
          <w:sz w:val="20"/>
          <w:szCs w:val="20"/>
        </w:rPr>
      </w:pPr>
      <w:r>
        <w:rPr>
          <w:rFonts w:eastAsia="Calibri" w:cs="ArialMT" w:ascii="Verdana" w:hAnsi="Verdana" w:eastAsiaTheme="minorHAnsi"/>
          <w:sz w:val="20"/>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57" w:after="57"/>
        <w:ind w:firstLine="21" w:left="567"/>
        <w:jc w:val="both"/>
        <w:rPr>
          <w:rFonts w:ascii="Verdana" w:hAnsi="Verdana"/>
          <w:sz w:val="20"/>
          <w:szCs w:val="20"/>
        </w:rPr>
      </w:pPr>
      <w:r>
        <w:rPr>
          <w:rFonts w:cs="Arial" w:ascii="Verdana" w:hAnsi="Verdana"/>
          <w:sz w:val="20"/>
          <w:szCs w:val="20"/>
        </w:rPr>
        <w:t>que não atendam às condições deste Aviso de Contratação Direta e seu(s) anexo(s);</w:t>
      </w:r>
    </w:p>
    <w:p>
      <w:pPr>
        <w:pStyle w:val="Normal"/>
        <w:numPr>
          <w:ilvl w:val="2"/>
          <w:numId w:val="1"/>
        </w:numPr>
        <w:spacing w:lineRule="auto" w:line="276" w:before="57" w:after="57"/>
        <w:ind w:hanging="0" w:left="567"/>
        <w:jc w:val="both"/>
        <w:rPr>
          <w:rFonts w:ascii="Verdana" w:hAnsi="Verdana"/>
          <w:sz w:val="20"/>
          <w:szCs w:val="20"/>
        </w:rPr>
      </w:pPr>
      <w:r>
        <w:rPr>
          <w:rFonts w:cs="Arial" w:ascii="Verdana" w:hAnsi="Verdana"/>
          <w:sz w:val="2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57" w:after="57"/>
        <w:ind w:hanging="0" w:left="567"/>
        <w:jc w:val="both"/>
        <w:rPr>
          <w:rFonts w:ascii="Verdana" w:hAnsi="Verdana"/>
          <w:sz w:val="20"/>
          <w:szCs w:val="20"/>
        </w:rPr>
      </w:pPr>
      <w:r>
        <w:rPr>
          <w:rFonts w:cs="Arial" w:ascii="Verdana" w:hAnsi="Verdana"/>
          <w:sz w:val="20"/>
          <w:szCs w:val="20"/>
        </w:rPr>
        <w:t>organizações da Sociedade Civil de Interesse Público - OSCIP, atuando nessa condição (Acórdão nº 746/2014-TCU-Plenário); e</w:t>
      </w:r>
    </w:p>
    <w:p>
      <w:pPr>
        <w:pStyle w:val="Normal"/>
        <w:numPr>
          <w:ilvl w:val="2"/>
          <w:numId w:val="1"/>
        </w:numPr>
        <w:spacing w:lineRule="auto" w:line="276" w:before="57" w:after="57"/>
        <w:ind w:firstLine="630" w:left="-70"/>
        <w:jc w:val="both"/>
        <w:rPr>
          <w:rFonts w:ascii="Verdana" w:hAnsi="Verdana"/>
          <w:sz w:val="20"/>
          <w:szCs w:val="20"/>
        </w:rPr>
      </w:pPr>
      <w:r>
        <w:rPr>
          <w:rFonts w:cs="Arial" w:ascii="Verdana" w:hAnsi="Verdana"/>
          <w:sz w:val="20"/>
          <w:szCs w:val="20"/>
        </w:rPr>
        <w:t>Que se enquadrem nas seguintes vedações:</w:t>
      </w:r>
    </w:p>
    <w:p>
      <w:pPr>
        <w:pStyle w:val="ListParagraph"/>
        <w:numPr>
          <w:ilvl w:val="0"/>
          <w:numId w:val="4"/>
        </w:numPr>
        <w:spacing w:lineRule="auto" w:line="276" w:before="57" w:after="57"/>
        <w:contextualSpacing w:val="false"/>
        <w:jc w:val="both"/>
        <w:rPr>
          <w:rFonts w:ascii="Verdana" w:hAnsi="Verdana"/>
          <w:sz w:val="20"/>
          <w:szCs w:val="20"/>
        </w:rPr>
      </w:pPr>
      <w:r>
        <w:rPr>
          <w:rFonts w:cs="Arial" w:ascii="Verdana" w:hAnsi="Verdana"/>
          <w:sz w:val="20"/>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before="57" w:after="57"/>
        <w:contextualSpacing w:val="false"/>
        <w:jc w:val="both"/>
        <w:rPr>
          <w:rFonts w:ascii="Verdana" w:hAnsi="Verdana"/>
          <w:sz w:val="20"/>
          <w:szCs w:val="20"/>
        </w:rPr>
      </w:pPr>
      <w:r>
        <w:rPr>
          <w:rFonts w:cs="Arial" w:ascii="Verdana" w:hAnsi="Verdana"/>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before="57" w:after="57"/>
        <w:contextualSpacing w:val="false"/>
        <w:jc w:val="both"/>
        <w:rPr>
          <w:rFonts w:ascii="Verdana" w:hAnsi="Verdana"/>
          <w:sz w:val="20"/>
          <w:szCs w:val="20"/>
        </w:rPr>
      </w:pPr>
      <w:r>
        <w:rPr>
          <w:rFonts w:cs="Arial" w:ascii="Verdana" w:hAnsi="Verdana"/>
          <w:sz w:val="20"/>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before="57" w:after="57"/>
        <w:contextualSpacing w:val="false"/>
        <w:jc w:val="both"/>
        <w:rPr>
          <w:rFonts w:ascii="Verdana" w:hAnsi="Verdana"/>
          <w:sz w:val="20"/>
          <w:szCs w:val="20"/>
        </w:rPr>
      </w:pPr>
      <w:r>
        <w:rPr>
          <w:rFonts w:cs="Arial" w:ascii="Verdana" w:hAnsi="Verdana"/>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before="57" w:after="57"/>
        <w:contextualSpacing w:val="false"/>
        <w:jc w:val="both"/>
        <w:rPr/>
      </w:pPr>
      <w:r>
        <w:rPr>
          <w:rFonts w:cs="Arial" w:ascii="Verdana" w:hAnsi="Verdana"/>
          <w:sz w:val="20"/>
          <w:szCs w:val="20"/>
        </w:rPr>
        <w:t xml:space="preserve">Empresas controladoras, controladas ou coligadas, nos termos da </w:t>
      </w:r>
      <w:hyperlink r:id="rId3">
        <w:r>
          <w:rPr>
            <w:rStyle w:val="Hyperlink"/>
            <w:rFonts w:eastAsia="Calibri" w:cs="Arial" w:ascii="Verdana" w:hAnsi="Verdana"/>
            <w:color w:val="auto"/>
            <w:sz w:val="20"/>
            <w:szCs w:val="20"/>
          </w:rPr>
          <w:t>Lei nº 6.404, de 15 de dezembro de 1976</w:t>
        </w:r>
      </w:hyperlink>
      <w:r>
        <w:rPr>
          <w:rFonts w:cs="Arial" w:ascii="Verdana" w:hAnsi="Verdana"/>
          <w:sz w:val="20"/>
          <w:szCs w:val="20"/>
        </w:rPr>
        <w:t>, concorrendo entre si;</w:t>
      </w:r>
    </w:p>
    <w:p>
      <w:pPr>
        <w:pStyle w:val="ListParagraph"/>
        <w:numPr>
          <w:ilvl w:val="0"/>
          <w:numId w:val="4"/>
        </w:numPr>
        <w:spacing w:lineRule="auto" w:line="276" w:before="57" w:after="57"/>
        <w:contextualSpacing w:val="false"/>
        <w:jc w:val="both"/>
        <w:rPr>
          <w:rFonts w:ascii="Verdana" w:hAnsi="Verdana"/>
          <w:sz w:val="20"/>
          <w:szCs w:val="20"/>
        </w:rPr>
      </w:pPr>
      <w:r>
        <w:rPr>
          <w:rFonts w:cs="Arial" w:ascii="Verdana" w:hAnsi="Verdana"/>
          <w:sz w:val="2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57" w:after="57"/>
        <w:jc w:val="both"/>
        <w:rPr>
          <w:rFonts w:ascii="Verdana" w:hAnsi="Verdana"/>
          <w:sz w:val="20"/>
          <w:szCs w:val="20"/>
        </w:rPr>
      </w:pPr>
      <w:r>
        <w:rPr>
          <w:rFonts w:cs="Arial" w:ascii="Verdana" w:hAnsi="Verdana"/>
          <w:sz w:val="20"/>
          <w:szCs w:val="20"/>
        </w:rPr>
        <w:t>Equiparam-se aos autores do projeto as empresas integrantes do mesmo grupo econômico;</w:t>
      </w:r>
    </w:p>
    <w:p>
      <w:pPr>
        <w:pStyle w:val="Normal"/>
        <w:numPr>
          <w:ilvl w:val="3"/>
          <w:numId w:val="1"/>
        </w:numPr>
        <w:spacing w:lineRule="auto" w:line="276" w:before="57" w:after="57"/>
        <w:jc w:val="both"/>
        <w:rPr>
          <w:rFonts w:ascii="Verdana" w:hAnsi="Verdana"/>
          <w:sz w:val="20"/>
          <w:szCs w:val="20"/>
        </w:rPr>
      </w:pPr>
      <w:r>
        <w:rPr>
          <w:rFonts w:cs="Arial" w:ascii="Verdana" w:hAnsi="Verdana"/>
          <w:sz w:val="2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before="57" w:after="57"/>
        <w:ind w:left="658"/>
        <w:jc w:val="both"/>
        <w:rPr>
          <w:rFonts w:ascii="Verdana" w:hAnsi="Verdana"/>
          <w:sz w:val="20"/>
          <w:szCs w:val="20"/>
        </w:rPr>
      </w:pPr>
      <w:r>
        <w:rPr>
          <w:rFonts w:cs="Arial" w:ascii="Verdana" w:hAnsi="Verdana"/>
          <w:b/>
          <w:bCs/>
          <w:sz w:val="20"/>
          <w:szCs w:val="20"/>
        </w:rPr>
        <w:t xml:space="preserve">2.2.5 </w:t>
      </w:r>
      <w:r>
        <w:rPr>
          <w:rFonts w:ascii="Verdana" w:hAnsi="Verdana"/>
          <w:sz w:val="20"/>
          <w:szCs w:val="20"/>
        </w:rPr>
        <w:t>Organizações da Sociedade Civil de Interesse Público – OSCIP, atuando nessa condição (Acórdão nº 746/2014-TCU-Plenário); e</w:t>
      </w:r>
    </w:p>
    <w:p>
      <w:pPr>
        <w:pStyle w:val="Normal"/>
        <w:spacing w:lineRule="auto" w:line="276" w:before="57" w:after="57"/>
        <w:jc w:val="both"/>
        <w:rPr>
          <w:rFonts w:ascii="Verdana" w:hAnsi="Verdana"/>
          <w:sz w:val="20"/>
          <w:szCs w:val="20"/>
        </w:rPr>
      </w:pPr>
      <w:r>
        <w:rPr>
          <w:rFonts w:cs="Arial" w:ascii="Verdana" w:hAnsi="Verdana"/>
          <w:b/>
          <w:bCs/>
          <w:sz w:val="20"/>
          <w:szCs w:val="20"/>
        </w:rPr>
        <w:t xml:space="preserve">2.3 </w:t>
      </w:r>
      <w:r>
        <w:rPr>
          <w:rFonts w:ascii="Verdana" w:hAnsi="Verdana"/>
          <w:sz w:val="20"/>
          <w:szCs w:val="20"/>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before="57" w:after="57"/>
        <w:ind w:left="574"/>
        <w:jc w:val="both"/>
        <w:rPr>
          <w:rFonts w:ascii="Verdana" w:hAnsi="Verdana"/>
          <w:sz w:val="20"/>
          <w:szCs w:val="20"/>
        </w:rPr>
      </w:pPr>
      <w:r>
        <w:rPr>
          <w:rFonts w:ascii="Verdana" w:hAnsi="Verdana"/>
          <w:b/>
          <w:bCs/>
          <w:sz w:val="20"/>
          <w:szCs w:val="20"/>
        </w:rPr>
        <w:t xml:space="preserve">2.3.1 </w:t>
      </w:r>
      <w:r>
        <w:rPr>
          <w:rFonts w:ascii="Verdana" w:hAnsi="Verdana"/>
          <w:sz w:val="20"/>
          <w:szCs w:val="20"/>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before="57" w:after="57"/>
        <w:ind w:left="574"/>
        <w:jc w:val="both"/>
        <w:rPr>
          <w:rFonts w:ascii="Verdana" w:hAnsi="Verdana"/>
          <w:sz w:val="20"/>
          <w:szCs w:val="20"/>
        </w:rPr>
      </w:pPr>
      <w:r>
        <w:rPr>
          <w:rFonts w:ascii="Verdana" w:hAnsi="Verdana"/>
          <w:sz w:val="20"/>
          <w:szCs w:val="20"/>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before="57" w:after="57"/>
        <w:ind w:left="560"/>
        <w:jc w:val="both"/>
        <w:rPr>
          <w:rFonts w:ascii="Verdana" w:hAnsi="Verdana"/>
          <w:sz w:val="20"/>
          <w:szCs w:val="20"/>
        </w:rPr>
      </w:pPr>
      <w:r>
        <w:rPr>
          <w:rFonts w:cs="Arial" w:ascii="Verdana" w:hAnsi="Verdana"/>
          <w:b/>
          <w:bCs/>
          <w:sz w:val="20"/>
          <w:szCs w:val="20"/>
        </w:rPr>
        <w:t>3.2.1.</w:t>
      </w:r>
      <w:r>
        <w:rPr>
          <w:rFonts w:cs="Arial" w:ascii="Verdana" w:hAnsi="Verdana"/>
          <w:sz w:val="20"/>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Nos valores propostos estarão inclusos todos os custos operacionais, encargos previdenciários, trabalhistas, tributários, comerciais e quaisquer outros que incidam direta ou indiretamente na prestação dos serviços;</w:t>
      </w:r>
    </w:p>
    <w:p>
      <w:pPr>
        <w:pStyle w:val="Normal"/>
        <w:widowControl/>
        <w:numPr>
          <w:ilvl w:val="2"/>
          <w:numId w:val="1"/>
        </w:numPr>
        <w:tabs>
          <w:tab w:val="clear" w:pos="708"/>
          <w:tab w:val="left" w:pos="567" w:leader="none"/>
        </w:tabs>
        <w:suppressAutoHyphens w:val="true"/>
        <w:bidi w:val="0"/>
        <w:snapToGrid w:val="false"/>
        <w:spacing w:lineRule="auto" w:line="276" w:before="57" w:after="57"/>
        <w:ind w:hanging="0" w:left="567" w:right="0"/>
        <w:jc w:val="both"/>
        <w:rPr>
          <w:rFonts w:ascii="Verdana" w:hAnsi="Verdana"/>
          <w:sz w:val="20"/>
          <w:szCs w:val="20"/>
        </w:rPr>
      </w:pPr>
      <w:r>
        <w:rPr>
          <w:rFonts w:cs="Arial" w:ascii="Verdana" w:hAnsi="Verdana"/>
          <w:sz w:val="2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 xml:space="preserve">A apresentação das propostas implica obrigatoriedade do cumprimento das disposições nelas contidas, em conformidade com o que dispõe neste </w:t>
      </w:r>
      <w:r>
        <w:rPr>
          <w:rFonts w:ascii="Verdana" w:hAnsi="Verdana"/>
          <w:sz w:val="20"/>
          <w:szCs w:val="20"/>
        </w:rPr>
        <w:t xml:space="preserve">aviso e seus anexos </w:t>
      </w:r>
      <w:r>
        <w:rPr>
          <w:rFonts w:ascii="Verdana" w:hAnsi="Verdana"/>
          <w:bCs/>
          <w:sz w:val="20"/>
          <w:szCs w:val="20"/>
        </w:rPr>
        <w:t xml:space="preserve">I - Documentos de habilitação e </w:t>
      </w:r>
      <w:r>
        <w:rPr>
          <w:rFonts w:ascii="Verdana" w:hAnsi="Verdana"/>
          <w:sz w:val="20"/>
          <w:szCs w:val="20"/>
        </w:rPr>
        <w:t>II -  Termo de Referência</w:t>
      </w:r>
      <w:r>
        <w:rPr>
          <w:rFonts w:ascii="Verdana" w:hAnsi="Verdana"/>
          <w:bCs/>
          <w:sz w:val="20"/>
          <w:szCs w:val="20"/>
        </w:rPr>
        <w:t>)</w:t>
      </w:r>
      <w:r>
        <w:rPr>
          <w:rFonts w:cs="Arial" w:ascii="Verdana" w:hAnsi="Verdana"/>
          <w:sz w:val="20"/>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 xml:space="preserve">Uma vez enviada a proposta no sistema, os fornecedores </w:t>
      </w:r>
      <w:r>
        <w:rPr>
          <w:rFonts w:cs="Arial" w:ascii="Verdana" w:hAnsi="Verdana"/>
          <w:b/>
          <w:bCs/>
          <w:sz w:val="20"/>
          <w:szCs w:val="20"/>
        </w:rPr>
        <w:t>NÃO</w:t>
      </w:r>
      <w:r>
        <w:rPr>
          <w:rFonts w:cs="Arial" w:ascii="Verdana" w:hAnsi="Verdana"/>
          <w:sz w:val="20"/>
          <w:szCs w:val="20"/>
        </w:rPr>
        <w:t xml:space="preserve"> poderão retirá-la, substituí-la ou modificá-la;</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No cadastramento da proposta inicial, o fornecedor deverá, também, assinalar “sim” ou “não” em campo próprio do sistema eletrônico, às seguintes declarações:</w:t>
      </w:r>
      <w:r>
        <w:rPr>
          <w:rFonts w:eastAsia="Zurich BT" w:cs="Arial" w:ascii="Verdana" w:hAnsi="Verdana"/>
          <w:sz w:val="20"/>
          <w:szCs w:val="20"/>
        </w:rPr>
        <w:t xml:space="preserve"> </w:t>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 w:val="20"/>
          <w:szCs w:val="20"/>
        </w:rPr>
      </w:pPr>
      <w:r>
        <w:rPr>
          <w:rFonts w:cs="Arial" w:ascii="Verdana" w:hAnsi="Verdana"/>
          <w:bCs/>
          <w:vanish/>
          <w:sz w:val="20"/>
          <w:szCs w:val="20"/>
        </w:rPr>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Que inexistem fatos impeditivos para sua habilitação no certame, ciente da obrigatoriedade de declarar ocorrências posteriores;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cs="Arial"/>
          <w:sz w:val="20"/>
          <w:szCs w:val="20"/>
        </w:rPr>
      </w:pPr>
      <w:r>
        <w:rPr>
          <w:rFonts w:cs="Arial" w:ascii="Verdana" w:hAnsi="Verdana"/>
          <w:sz w:val="20"/>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cs="Arial"/>
          <w:sz w:val="20"/>
          <w:szCs w:val="20"/>
        </w:rPr>
      </w:pPr>
      <w:r>
        <w:rPr>
          <w:rFonts w:cs="Arial" w:ascii="Verdana" w:hAnsi="Verdana"/>
          <w:sz w:val="20"/>
          <w:szCs w:val="20"/>
        </w:rPr>
        <w:t>Que está ciente e concorda com as condições contidas no Aviso de Contratação Direta e seus anexos;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cs="Arial"/>
          <w:sz w:val="20"/>
          <w:szCs w:val="20"/>
        </w:rPr>
      </w:pPr>
      <w:r>
        <w:rPr>
          <w:rFonts w:cs="Arial" w:ascii="Verdana" w:hAnsi="Verdana"/>
          <w:sz w:val="20"/>
          <w:szCs w:val="20"/>
        </w:rPr>
        <w:t>Que assume a responsabilidade pelas transações que forem efetuadas no sistema, assumindo como firmes e verdadeiras;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cs="Arial"/>
          <w:sz w:val="20"/>
          <w:szCs w:val="20"/>
        </w:rPr>
      </w:pPr>
      <w:r>
        <w:rPr>
          <w:rFonts w:cs="Arial" w:ascii="Verdana" w:hAnsi="Verdana"/>
          <w:sz w:val="20"/>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57" w:after="57"/>
        <w:ind w:left="574"/>
        <w:jc w:val="both"/>
        <w:rPr>
          <w:rFonts w:ascii="Verdana" w:hAnsi="Verdana"/>
          <w:sz w:val="20"/>
          <w:szCs w:val="20"/>
        </w:rPr>
      </w:pPr>
      <w:r>
        <w:rPr>
          <w:rFonts w:ascii="Verdana" w:hAnsi="Verdana"/>
          <w:sz w:val="20"/>
          <w:szCs w:val="20"/>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FASE DE LANCES</w:t>
      </w:r>
    </w:p>
    <w:p>
      <w:pPr>
        <w:pStyle w:val="ListParagraph"/>
        <w:numPr>
          <w:ilvl w:val="1"/>
          <w:numId w:val="1"/>
        </w:numPr>
        <w:tabs>
          <w:tab w:val="clear" w:pos="708"/>
          <w:tab w:val="left" w:pos="490"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 w:val="20"/>
          <w:szCs w:val="20"/>
          <w:lang w:eastAsia="en-US"/>
        </w:rPr>
        <w:t>exclusivamente por meio do sistema eletrônico</w:t>
      </w:r>
      <w:r>
        <w:rPr>
          <w:rFonts w:cs="Arial" w:ascii="Verdana" w:hAnsi="Verdana"/>
          <w:sz w:val="20"/>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57" w:after="57"/>
        <w:contextualSpacing w:val="false"/>
        <w:jc w:val="both"/>
        <w:rPr>
          <w:rFonts w:ascii="Verdana" w:hAnsi="Verdana"/>
          <w:sz w:val="20"/>
          <w:szCs w:val="20"/>
        </w:rPr>
      </w:pPr>
      <w:r>
        <w:rPr>
          <w:rFonts w:cs="Arial" w:ascii="Verdana" w:hAnsi="Verdana"/>
          <w:i/>
          <w:iCs/>
          <w:sz w:val="20"/>
          <w:szCs w:val="20"/>
        </w:rPr>
        <w:t xml:space="preserve"> </w:t>
      </w:r>
      <w:r>
        <w:rPr>
          <w:rFonts w:cs="Arial" w:ascii="Verdana" w:hAnsi="Verdana"/>
          <w:b/>
          <w:bCs/>
          <w:sz w:val="20"/>
          <w:szCs w:val="20"/>
        </w:rPr>
        <w:t>O lance deverá ser ofertado pelo valor unitário.</w:t>
      </w:r>
    </w:p>
    <w:p>
      <w:pPr>
        <w:pStyle w:val="ListParagraph"/>
        <w:numPr>
          <w:ilvl w:val="1"/>
          <w:numId w:val="1"/>
        </w:numPr>
        <w:tabs>
          <w:tab w:val="clear" w:pos="708"/>
          <w:tab w:val="left" w:pos="490"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O fornecedor somente poderá oferecer valor inferior ou maior percentual de desconto em relação ao último lance por ele ofertado e registrado pelo sistema.</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lang w:eastAsia="en-US"/>
        </w:rPr>
        <w:t xml:space="preserve">O fornecedor poderá oferecer lances sucessivos iguais ou superiores ao lance que esteja </w:t>
      </w:r>
      <w:r>
        <w:rPr>
          <w:rFonts w:cs="Arial" w:ascii="Verdana" w:hAnsi="Verdana"/>
          <w:sz w:val="20"/>
          <w:szCs w:val="20"/>
        </w:rPr>
        <w:t>vencendo</w:t>
      </w:r>
      <w:r>
        <w:rPr>
          <w:rFonts w:cs="Arial" w:ascii="Verdana" w:hAnsi="Verdana"/>
          <w:sz w:val="20"/>
          <w:szCs w:val="20"/>
          <w:lang w:eastAsia="en-US"/>
        </w:rPr>
        <w:t xml:space="preserve"> o certame, desde que inferiores ao menor por ele ofertado e registrado pelo sistema, sendo tais lances definidos como “lances intermediários” para os fins deste Aviso de Contratação Direta.</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 xml:space="preserve">O intervalo mínimo de diferença de valores ou percentuais entre os lances, que </w:t>
      </w:r>
      <w:r>
        <w:rPr>
          <w:rFonts w:cs="Arial" w:ascii="Verdana" w:hAnsi="Verdana"/>
          <w:sz w:val="20"/>
          <w:szCs w:val="20"/>
        </w:rPr>
        <w:t>incidirá</w:t>
      </w:r>
      <w:r>
        <w:rPr>
          <w:rFonts w:ascii="Verdana" w:hAnsi="Verdana"/>
          <w:sz w:val="20"/>
          <w:szCs w:val="20"/>
        </w:rPr>
        <w:t xml:space="preserve"> tanto em relação aos lances intermediários quanto em relação ao que cobrir a melhor oferta é de</w:t>
      </w:r>
      <w:r>
        <w:rPr>
          <w:rFonts w:ascii="Verdana" w:hAnsi="Verdana"/>
          <w:iCs/>
          <w:sz w:val="20"/>
          <w:szCs w:val="20"/>
        </w:rPr>
        <w:t xml:space="preserve"> </w:t>
      </w:r>
      <w:r>
        <w:rPr>
          <w:rFonts w:ascii="Verdana" w:hAnsi="Verdana"/>
          <w:b/>
          <w:bCs/>
          <w:iCs/>
          <w:sz w:val="20"/>
          <w:szCs w:val="20"/>
        </w:rPr>
        <w:t>R$ 0,01 (um centavo).</w:t>
      </w:r>
    </w:p>
    <w:p>
      <w:pPr>
        <w:pStyle w:val="ListParagraph"/>
        <w:numPr>
          <w:ilvl w:val="1"/>
          <w:numId w:val="1"/>
        </w:numPr>
        <w:tabs>
          <w:tab w:val="clear" w:pos="708"/>
          <w:tab w:val="left" w:pos="532"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Imediatamente após o término do prazo estabelecido para a fase de lances, haverá o seu encerramento, com o ordenamento e divulgação dos lances, pelo sistema, em ordem crescente de classificação.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lang w:eastAsia="en-US"/>
        </w:rPr>
        <w:t xml:space="preserve">O encerramento da fase de lances ocorrerá de forma automática pontualmente no horário indicado, sem qualquer possibilidade de prorrogação e não havendo tempo </w:t>
      </w:r>
      <w:r>
        <w:rPr>
          <w:rFonts w:cs="Arial" w:ascii="Verdana" w:hAnsi="Verdana"/>
          <w:sz w:val="20"/>
          <w:szCs w:val="20"/>
        </w:rPr>
        <w:t>aleatório</w:t>
      </w:r>
      <w:r>
        <w:rPr>
          <w:rFonts w:cs="Arial" w:ascii="Verdana" w:hAnsi="Verdana"/>
          <w:sz w:val="20"/>
          <w:szCs w:val="20"/>
          <w:lang w:eastAsia="en-US"/>
        </w:rPr>
        <w:t xml:space="preserve"> ou mecanismo similar.</w:t>
      </w:r>
    </w:p>
    <w:p>
      <w:pPr>
        <w:pStyle w:val="ListParagraph"/>
        <w:spacing w:lineRule="auto" w:line="276" w:before="57" w:after="57"/>
        <w:ind w:left="1224"/>
        <w:contextualSpacing w:val="false"/>
        <w:jc w:val="both"/>
        <w:rPr>
          <w:rFonts w:ascii="Verdana" w:hAnsi="Verdana" w:cs="Arial"/>
          <w:sz w:val="20"/>
          <w:szCs w:val="20"/>
        </w:rPr>
      </w:pPr>
      <w:r>
        <w:rPr>
          <w:rFonts w:cs="Arial" w:ascii="Verdana" w:hAnsi="Verdana"/>
          <w:sz w:val="20"/>
          <w:szCs w:val="20"/>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JULGAMENTO DAS PROPOSTAS DE PREÇO</w:t>
      </w:r>
    </w:p>
    <w:p>
      <w:pPr>
        <w:pStyle w:val="ListParagraph"/>
        <w:numPr>
          <w:ilvl w:val="1"/>
          <w:numId w:val="1"/>
        </w:numPr>
        <w:tabs>
          <w:tab w:val="clear" w:pos="708"/>
          <w:tab w:val="left" w:pos="518"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No caso de o preço da proposta vencedora estar acima do estimado pela Administração, poderá haver a negociação de condições mais vantajosas.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Neste caso, será encaminhada contraproposta ao fornecedor que tenha apresentado o melhor preço, para que seja obtida melhor proposta com preço compatível ao estimado pela Administração.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Em qualquer caso, concluída a negociação, o resultado será registrado na ata do proc</w:t>
      </w:r>
      <w:r>
        <w:rPr>
          <w:rFonts w:eastAsia="Times New Roman" w:cs="Arial" w:ascii="Verdana" w:hAnsi="Verdana"/>
          <w:color w:val="auto"/>
          <w:kern w:val="0"/>
          <w:sz w:val="20"/>
          <w:szCs w:val="20"/>
          <w:lang w:val="pt-BR" w:eastAsia="pt-BR" w:bidi="ar-SA"/>
        </w:rPr>
        <w:t>e</w:t>
      </w:r>
      <w:r>
        <w:rPr>
          <w:rFonts w:cs="Arial" w:ascii="Verdana" w:hAnsi="Verdana"/>
          <w:sz w:val="20"/>
          <w:szCs w:val="20"/>
        </w:rPr>
        <w:t>dimento da dispensa eletrônica.</w:t>
      </w:r>
    </w:p>
    <w:p>
      <w:pPr>
        <w:pStyle w:val="ListParagraph"/>
        <w:numPr>
          <w:ilvl w:val="1"/>
          <w:numId w:val="1"/>
        </w:numPr>
        <w:tabs>
          <w:tab w:val="clear" w:pos="708"/>
          <w:tab w:val="left" w:pos="518"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 xml:space="preserve">O prazo de validade da proposta não será inferior a </w:t>
      </w:r>
      <w:r>
        <w:rPr>
          <w:rFonts w:cs="Arial" w:ascii="Verdana" w:hAnsi="Verdana"/>
          <w:b/>
          <w:bCs/>
          <w:sz w:val="20"/>
          <w:szCs w:val="20"/>
        </w:rPr>
        <w:t>60 (sessenta) dias,</w:t>
      </w:r>
      <w:r>
        <w:rPr>
          <w:rFonts w:cs="Arial" w:ascii="Verdana" w:hAnsi="Verdana"/>
          <w:sz w:val="20"/>
          <w:szCs w:val="20"/>
        </w:rPr>
        <w:t xml:space="preserve"> a contar da data de sua apresentação.</w:t>
      </w:r>
    </w:p>
    <w:p>
      <w:pPr>
        <w:pStyle w:val="ListParagraph"/>
        <w:tabs>
          <w:tab w:val="clear" w:pos="708"/>
          <w:tab w:val="left" w:pos="518" w:leader="none"/>
        </w:tabs>
        <w:spacing w:lineRule="auto" w:line="276" w:before="57" w:after="57"/>
        <w:ind w:left="0"/>
        <w:contextualSpacing w:val="false"/>
        <w:jc w:val="both"/>
        <w:rPr>
          <w:rFonts w:ascii="Verdana" w:hAnsi="Verdana" w:cs="Arial"/>
          <w:sz w:val="20"/>
          <w:szCs w:val="20"/>
        </w:rPr>
      </w:pPr>
      <w:r>
        <w:rPr>
          <w:rFonts w:cs="Arial" w:ascii="Verdana" w:hAnsi="Verdana"/>
          <w:sz w:val="20"/>
          <w:szCs w:val="20"/>
        </w:rPr>
      </w:r>
    </w:p>
    <w:p>
      <w:pPr>
        <w:pStyle w:val="ListParagraph"/>
        <w:numPr>
          <w:ilvl w:val="1"/>
          <w:numId w:val="1"/>
        </w:numPr>
        <w:tabs>
          <w:tab w:val="clear" w:pos="708"/>
          <w:tab w:val="left" w:pos="518"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Será desclassificada a proposta vencedora que: </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Apresentar</w:t>
      </w:r>
      <w:r>
        <w:rPr>
          <w:rFonts w:ascii="Verdana" w:hAnsi="Verdana"/>
          <w:i/>
          <w:iCs/>
          <w:sz w:val="20"/>
          <w:szCs w:val="20"/>
          <w:highlight w:val="yellow"/>
          <w:u w:val="single"/>
        </w:rPr>
        <w:t xml:space="preserve"> preços unitários ou globais acima dos valores estabelecidos como de referência máxima.</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Contiver vícios insanáveis</w:t>
      </w:r>
      <w:r>
        <w:rPr>
          <w:rFonts w:cs="Arial" w:ascii="Verdana" w:hAnsi="Verdana"/>
          <w:iCs/>
          <w:sz w:val="20"/>
          <w:szCs w:val="20"/>
        </w:rPr>
        <w:t>;</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Não obedecer às especificações técnicas pormenorizadas neste aviso ou em seus anexos</w:t>
      </w:r>
      <w:r>
        <w:rPr>
          <w:rFonts w:cs="Arial" w:ascii="Verdana" w:hAnsi="Verdana"/>
          <w:iCs/>
          <w:sz w:val="20"/>
          <w:szCs w:val="20"/>
        </w:rPr>
        <w:t>;</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Apresentar preços inexequíveis ou permanecerem acima do preço máximo definido para a contratação;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Não tiverem sua exequibilidade demonstrada, quando exigido pela Administração</w:t>
      </w:r>
      <w:r>
        <w:rPr>
          <w:rFonts w:cs="Arial" w:ascii="Verdana" w:hAnsi="Verdana"/>
          <w:iCs/>
          <w:sz w:val="20"/>
          <w:szCs w:val="20"/>
        </w:rPr>
        <w:t>;</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Apresentar desconformidade com quaisquer outras exigências deste aviso ou seus anexos, desde que insanável.</w:t>
      </w:r>
    </w:p>
    <w:p>
      <w:pPr>
        <w:pStyle w:val="ListParagraph"/>
        <w:spacing w:lineRule="auto" w:line="276" w:before="57" w:after="57"/>
        <w:ind w:left="1224"/>
        <w:contextualSpacing w:val="false"/>
        <w:jc w:val="both"/>
        <w:rPr>
          <w:rFonts w:ascii="Verdana" w:hAnsi="Verdana" w:cs="Arial"/>
          <w:i/>
          <w:i/>
          <w:sz w:val="20"/>
          <w:szCs w:val="20"/>
        </w:rPr>
      </w:pPr>
      <w:r>
        <w:rPr>
          <w:rFonts w:cs="Arial" w:ascii="Verdana" w:hAnsi="Verdana"/>
          <w:i/>
          <w:sz w:val="20"/>
          <w:szCs w:val="20"/>
        </w:rPr>
      </w:r>
    </w:p>
    <w:p>
      <w:pPr>
        <w:pStyle w:val="ListParagraph"/>
        <w:numPr>
          <w:ilvl w:val="1"/>
          <w:numId w:val="1"/>
        </w:numPr>
        <w:tabs>
          <w:tab w:val="clear" w:pos="708"/>
          <w:tab w:val="left" w:pos="532"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Quando</w:t>
      </w:r>
      <w:r>
        <w:rPr>
          <w:rFonts w:cs="Arial" w:ascii="Verdana" w:hAnsi="Verdana"/>
          <w:sz w:val="20"/>
          <w:szCs w:val="20"/>
        </w:rPr>
        <w:t xml:space="preserve"> o fornecedor não conseguir comprovar que possui ou possuirá recursos suficientes para executar a contento o objeto, será considerada inexequível a proposta de preços ou menor lance que:</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 xml:space="preserve">Apresentar um ou mais valores da planilha de custo que sejam inferiores àqueles </w:t>
      </w:r>
      <w:r>
        <w:rPr>
          <w:rFonts w:cs="Arial" w:ascii="Verdana" w:hAnsi="Verdana"/>
          <w:sz w:val="20"/>
          <w:szCs w:val="20"/>
        </w:rPr>
        <w:t>fixados</w:t>
      </w:r>
      <w:r>
        <w:rPr>
          <w:rFonts w:ascii="Verdana" w:hAnsi="Verdana"/>
          <w:sz w:val="20"/>
          <w:szCs w:val="20"/>
        </w:rPr>
        <w:t xml:space="preserve"> em instrumentos de caráter normativo obrigatório, tais como leis, medidas provisórias e convenções coletivas de trabalho vigentes.</w:t>
      </w:r>
    </w:p>
    <w:p>
      <w:pPr>
        <w:pStyle w:val="ListParagraph"/>
        <w:spacing w:lineRule="auto" w:line="276" w:before="57" w:after="57"/>
        <w:ind w:left="1224"/>
        <w:contextualSpacing w:val="false"/>
        <w:jc w:val="both"/>
        <w:rPr>
          <w:rFonts w:ascii="Verdana" w:hAnsi="Verdana"/>
          <w:sz w:val="20"/>
          <w:szCs w:val="20"/>
        </w:rPr>
      </w:pPr>
      <w:r>
        <w:rPr>
          <w:rFonts w:ascii="Verdana" w:hAnsi="Verdana"/>
          <w:sz w:val="20"/>
          <w:szCs w:val="20"/>
        </w:rPr>
      </w:r>
    </w:p>
    <w:p>
      <w:pPr>
        <w:pStyle w:val="ListParagraph"/>
        <w:numPr>
          <w:ilvl w:val="1"/>
          <w:numId w:val="1"/>
        </w:numPr>
        <w:tabs>
          <w:tab w:val="clear" w:pos="708"/>
          <w:tab w:val="left" w:pos="560" w:leader="none"/>
        </w:tabs>
        <w:spacing w:lineRule="auto" w:line="276" w:before="57" w:after="57"/>
        <w:ind w:hanging="0" w:left="0" w:right="-15"/>
        <w:contextualSpacing w:val="false"/>
        <w:jc w:val="both"/>
        <w:rPr>
          <w:rFonts w:ascii="Verdana" w:hAnsi="Verdana"/>
          <w:sz w:val="20"/>
          <w:szCs w:val="20"/>
        </w:rPr>
      </w:pPr>
      <w:r>
        <w:rPr>
          <w:rFonts w:cs="Arial" w:ascii="Verdana" w:hAnsi="Verdana"/>
          <w:sz w:val="20"/>
          <w:szCs w:val="20"/>
          <w:lang w:eastAsia="en-US"/>
        </w:rPr>
        <w:t xml:space="preserve">Se houver indícios de inexequibilidade da proposta de preço, ou em caso da necessidade de esclarecimentos </w:t>
      </w:r>
      <w:r>
        <w:rPr>
          <w:rFonts w:cs="Arial" w:ascii="Verdana" w:hAnsi="Verdana"/>
          <w:sz w:val="20"/>
          <w:szCs w:val="20"/>
        </w:rPr>
        <w:t>complementares</w:t>
      </w:r>
      <w:r>
        <w:rPr>
          <w:rFonts w:cs="Arial" w:ascii="Verdana" w:hAnsi="Verdana"/>
          <w:sz w:val="20"/>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before="57" w:after="57"/>
        <w:ind w:hanging="0" w:left="0" w:right="-15"/>
        <w:contextualSpacing w:val="false"/>
        <w:jc w:val="both"/>
        <w:rPr>
          <w:rFonts w:ascii="Verdana" w:hAnsi="Verdana"/>
          <w:sz w:val="20"/>
          <w:szCs w:val="20"/>
        </w:rPr>
      </w:pPr>
      <w:r>
        <w:rPr>
          <w:rFonts w:cs="Arial" w:ascii="Verdana" w:hAnsi="Verdana"/>
          <w:sz w:val="20"/>
          <w:szCs w:val="20"/>
          <w:lang w:eastAsia="en-US"/>
        </w:rPr>
        <w:t xml:space="preserve">Erros no preenchimento da planilha não constituem motivo para a desclassificação da proposta. A planilha </w:t>
      </w:r>
      <w:r>
        <w:rPr>
          <w:rFonts w:cs="Arial" w:ascii="Verdana" w:hAnsi="Verdana"/>
          <w:sz w:val="20"/>
          <w:szCs w:val="20"/>
        </w:rPr>
        <w:t>poderá́</w:t>
      </w:r>
      <w:r>
        <w:rPr>
          <w:rFonts w:cs="Arial" w:ascii="Verdana" w:hAnsi="Verdana"/>
          <w:sz w:val="20"/>
          <w:szCs w:val="20"/>
          <w:lang w:eastAsia="en-US"/>
        </w:rPr>
        <w:t xml:space="preserve"> ser ajustada pelo fornecedor, no prazo indicado pelo sistema, desde que não haja majoração do preço.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57" w:after="57"/>
        <w:ind w:left="0"/>
        <w:contextualSpacing w:val="false"/>
        <w:jc w:val="both"/>
        <w:rPr>
          <w:rFonts w:ascii="Verdana" w:hAnsi="Verdana" w:cs="Arial"/>
          <w:sz w:val="20"/>
          <w:szCs w:val="20"/>
          <w:lang w:eastAsia="en-US"/>
        </w:rPr>
      </w:pPr>
      <w:r>
        <w:rPr>
          <w:rFonts w:cs="Arial" w:ascii="Verdana" w:hAnsi="Verdana"/>
          <w:sz w:val="20"/>
          <w:szCs w:val="20"/>
          <w:lang w:eastAsia="en-US"/>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HABILITAÇÃO</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sz w:val="20"/>
          <w:szCs w:val="20"/>
          <w:lang w:eastAsia="ar-SA"/>
        </w:rPr>
        <w:t xml:space="preserve">Os </w:t>
      </w:r>
      <w:r>
        <w:rPr>
          <w:rFonts w:cs="Arial" w:ascii="Verdana" w:hAnsi="Verdana"/>
          <w:sz w:val="20"/>
          <w:szCs w:val="20"/>
        </w:rPr>
        <w:t>documentos</w:t>
      </w:r>
      <w:r>
        <w:rPr>
          <w:rFonts w:cs="Arial" w:ascii="Verdana" w:hAnsi="Verdana"/>
          <w:sz w:val="20"/>
          <w:szCs w:val="20"/>
          <w:lang w:eastAsia="ar-SA"/>
        </w:rPr>
        <w:t xml:space="preserve"> a serem exigidos para fins de habilitação constam do </w:t>
      </w:r>
      <w:r>
        <w:rPr>
          <w:rFonts w:cs="Arial" w:ascii="Verdana" w:hAnsi="Verdana"/>
          <w:b/>
          <w:sz w:val="20"/>
          <w:szCs w:val="20"/>
          <w:lang w:eastAsia="ar-SA"/>
        </w:rPr>
        <w:t xml:space="preserve">ANEXO I – DOCUMENTAÇÃO EXIGIDA PARA HABILITAÇÃO </w:t>
      </w:r>
      <w:r>
        <w:rPr>
          <w:rFonts w:cs="Arial" w:ascii="Verdana" w:hAnsi="Verdana"/>
          <w:sz w:val="20"/>
          <w:szCs w:val="20"/>
          <w:lang w:eastAsia="ar-SA"/>
        </w:rPr>
        <w:t>deste aviso e serão solicitados do fornecedor mais bem classificado da fase de lances.</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sz w:val="20"/>
          <w:szCs w:val="20"/>
          <w:lang w:eastAsia="ar-SA"/>
        </w:rPr>
        <w:t xml:space="preserve">Como </w:t>
      </w:r>
      <w:r>
        <w:rPr>
          <w:rFonts w:cs="Arial" w:ascii="Verdana" w:hAnsi="Verdana"/>
          <w:sz w:val="20"/>
          <w:szCs w:val="20"/>
        </w:rPr>
        <w:t>condição</w:t>
      </w:r>
      <w:r>
        <w:rPr>
          <w:rFonts w:cs="Arial" w:ascii="Verdana" w:hAnsi="Verdana"/>
          <w:sz w:val="2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57" w:after="57"/>
        <w:ind w:left="1134"/>
        <w:contextualSpacing w:val="false"/>
        <w:jc w:val="both"/>
        <w:rPr>
          <w:rFonts w:ascii="Verdana" w:hAnsi="Verdana"/>
          <w:sz w:val="20"/>
          <w:szCs w:val="20"/>
        </w:rPr>
      </w:pPr>
      <w:r>
        <w:rPr>
          <w:rFonts w:cs="Arial" w:ascii="Verdana" w:hAnsi="Verdana"/>
          <w:sz w:val="20"/>
          <w:szCs w:val="20"/>
          <w:lang w:eastAsia="ar-SA"/>
        </w:rPr>
        <w:t xml:space="preserve">a) SICAF; </w:t>
      </w:r>
    </w:p>
    <w:p>
      <w:pPr>
        <w:pStyle w:val="ListParagraph"/>
        <w:spacing w:lineRule="auto" w:line="276" w:before="57" w:after="57"/>
        <w:ind w:left="1134"/>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Hyperlink"/>
            <w:rFonts w:eastAsia="Calibri" w:cs="Arial" w:ascii="Verdana" w:hAnsi="Verdana"/>
            <w:color w:val="auto"/>
            <w:sz w:val="20"/>
            <w:szCs w:val="20"/>
            <w:lang w:eastAsia="ar-SA"/>
          </w:rPr>
          <w:t>www.portaldatransparencia.gov.br/ceis</w:t>
        </w:r>
      </w:hyperlink>
      <w:r>
        <w:rPr>
          <w:rFonts w:cs="Arial" w:ascii="Verdana" w:hAnsi="Verdana"/>
          <w:sz w:val="20"/>
          <w:szCs w:val="20"/>
          <w:lang w:eastAsia="ar-SA"/>
        </w:rPr>
        <w:t xml:space="preserve">); </w:t>
      </w:r>
    </w:p>
    <w:p>
      <w:pPr>
        <w:pStyle w:val="ListParagraph"/>
        <w:spacing w:lineRule="auto" w:line="276" w:before="57" w:after="57"/>
        <w:ind w:left="1134"/>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Hyperlink"/>
            <w:rFonts w:eastAsia="Calibri" w:cs="Arial" w:ascii="Verdana" w:hAnsi="Verdana"/>
            <w:color w:val="auto"/>
            <w:sz w:val="20"/>
            <w:szCs w:val="20"/>
            <w:lang w:eastAsia="ar-SA"/>
          </w:rPr>
          <w:t>www.cnj.jus.br/improbidade_adm/consultar_requerido.php</w:t>
        </w:r>
      </w:hyperlink>
      <w:r>
        <w:rPr>
          <w:rFonts w:cs="Arial" w:ascii="Verdana" w:hAnsi="Verdana"/>
          <w:sz w:val="20"/>
          <w:szCs w:val="20"/>
          <w:lang w:eastAsia="ar-SA"/>
        </w:rPr>
        <w:t xml:space="preserve">). </w:t>
      </w:r>
    </w:p>
    <w:p>
      <w:pPr>
        <w:pStyle w:val="ListParagraph"/>
        <w:spacing w:lineRule="auto" w:line="276" w:before="57" w:after="57"/>
        <w:ind w:left="1134"/>
        <w:contextualSpacing w:val="false"/>
        <w:jc w:val="both"/>
        <w:rPr>
          <w:rFonts w:ascii="Verdana" w:hAnsi="Verdana"/>
          <w:sz w:val="20"/>
          <w:szCs w:val="20"/>
        </w:rPr>
      </w:pPr>
      <w:r>
        <w:rPr>
          <w:rFonts w:cs="Arial" w:ascii="Verdana" w:hAnsi="Verdana"/>
          <w:sz w:val="20"/>
          <w:szCs w:val="20"/>
          <w:lang w:eastAsia="ar-SA"/>
        </w:rPr>
        <w:t xml:space="preserve">d) Lista de Inidôneos mantida pelo Tribunal de Contas da União – TCU; </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lang w:eastAsia="ar-SA"/>
        </w:rPr>
        <w:t xml:space="preserve">Para a consulta de </w:t>
      </w:r>
      <w:r>
        <w:rPr>
          <w:rFonts w:cs="Arial" w:ascii="Verdana" w:hAnsi="Verdana"/>
          <w:sz w:val="20"/>
          <w:szCs w:val="20"/>
        </w:rPr>
        <w:t>fornecedores</w:t>
      </w:r>
      <w:r>
        <w:rPr>
          <w:rFonts w:cs="Arial" w:ascii="Verdana" w:hAnsi="Verdana"/>
          <w:sz w:val="20"/>
          <w:szCs w:val="20"/>
          <w:lang w:eastAsia="ar-SA"/>
        </w:rPr>
        <w:t xml:space="preserve"> pessoa jurídica poderá haver a substituição das </w:t>
      </w:r>
      <w:r>
        <w:rPr>
          <w:rFonts w:cs="Arial" w:ascii="Verdana" w:hAnsi="Verdana"/>
          <w:sz w:val="20"/>
          <w:szCs w:val="20"/>
        </w:rPr>
        <w:t>consultas</w:t>
      </w:r>
      <w:r>
        <w:rPr>
          <w:rFonts w:cs="Arial" w:ascii="Verdana" w:hAnsi="Verdana"/>
          <w:sz w:val="20"/>
          <w:szCs w:val="20"/>
          <w:lang w:eastAsia="ar-SA"/>
        </w:rPr>
        <w:t xml:space="preserve"> das alíneas “b”, “c” e “d” acima pela Consulta Consolidada de Pessoa Jurídica do TCU (https://certidoesapf.apps.tcu.gov.br/)</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 xml:space="preserve">A consulta aos </w:t>
      </w:r>
      <w:r>
        <w:rPr>
          <w:rFonts w:cs="Arial" w:ascii="Verdana" w:hAnsi="Verdana"/>
          <w:sz w:val="20"/>
          <w:szCs w:val="20"/>
          <w:lang w:eastAsia="ar-SA"/>
        </w:rPr>
        <w:t>cadastros</w:t>
      </w:r>
      <w:r>
        <w:rPr>
          <w:rFonts w:cs="Arial" w:ascii="Verdana" w:hAnsi="Verdana"/>
          <w:sz w:val="20"/>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57" w:after="57"/>
        <w:contextualSpacing w:val="false"/>
        <w:jc w:val="both"/>
        <w:rPr>
          <w:rFonts w:ascii="Verdana" w:hAnsi="Verdana"/>
          <w:sz w:val="20"/>
          <w:szCs w:val="20"/>
        </w:rPr>
      </w:pPr>
      <w:r>
        <w:rPr>
          <w:rFonts w:cs="Arial" w:ascii="Verdana" w:hAnsi="Verdana"/>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57" w:after="57"/>
        <w:contextualSpacing w:val="false"/>
        <w:jc w:val="both"/>
        <w:rPr>
          <w:rFonts w:ascii="Verdana" w:hAnsi="Verdana"/>
          <w:sz w:val="20"/>
          <w:szCs w:val="20"/>
        </w:rPr>
      </w:pPr>
      <w:r>
        <w:rPr>
          <w:rFonts w:cs="Arial" w:ascii="Verdana" w:hAnsi="Verdana"/>
          <w:sz w:val="20"/>
          <w:szCs w:val="20"/>
        </w:rPr>
        <w:t>A tentativa de burla será verificada por meio dos vínculos societários, linhas de fornecimento similares, dentre outros.</w:t>
      </w:r>
    </w:p>
    <w:p>
      <w:pPr>
        <w:pStyle w:val="ListParagraph"/>
        <w:numPr>
          <w:ilvl w:val="4"/>
          <w:numId w:val="1"/>
        </w:numPr>
        <w:spacing w:lineRule="auto" w:line="276" w:before="57" w:after="57"/>
        <w:contextualSpacing w:val="false"/>
        <w:jc w:val="both"/>
        <w:rPr>
          <w:rFonts w:ascii="Verdana" w:hAnsi="Verdana"/>
          <w:sz w:val="20"/>
          <w:szCs w:val="20"/>
        </w:rPr>
      </w:pPr>
      <w:r>
        <w:rPr>
          <w:rFonts w:cs="Arial" w:ascii="Verdana" w:hAnsi="Verdana"/>
          <w:sz w:val="20"/>
          <w:szCs w:val="20"/>
        </w:rPr>
        <w:t>O fornecedor será convocado para manifestação previamente à sua desclassificação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Constatada a existência de sanção, o fornecedor será reputado inabilitado, por falta de condição de participação.</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sz w:val="20"/>
          <w:szCs w:val="20"/>
        </w:rPr>
        <w:t>Caso atendidas as condições de participação, a habilitação dos fornecedores será verificada por meio do SICAF, nos documentos por ele abrangidos.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sz w:val="20"/>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bCs/>
          <w:sz w:val="20"/>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bCs/>
          <w:sz w:val="20"/>
          <w:szCs w:val="20"/>
        </w:rPr>
        <w:t xml:space="preserve">Havendo </w:t>
      </w:r>
      <w:r>
        <w:rPr>
          <w:rFonts w:cs="Arial" w:ascii="Verdana" w:hAnsi="Verdana"/>
          <w:iCs/>
          <w:sz w:val="20"/>
          <w:szCs w:val="20"/>
          <w:lang w:eastAsia="en-US"/>
        </w:rPr>
        <w:t>necessidade</w:t>
      </w:r>
      <w:r>
        <w:rPr>
          <w:rFonts w:cs="Arial" w:ascii="Verdana" w:hAnsi="Verdana"/>
          <w:bCs/>
          <w:sz w:val="20"/>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sz w:val="20"/>
          <w:szCs w:val="20"/>
        </w:rPr>
        <w:t xml:space="preserve">Será inabilitado o fornecedor que não comprovar sua habilitação, seja por não apresentar </w:t>
      </w:r>
      <w:r>
        <w:rPr>
          <w:rFonts w:cs="Arial" w:ascii="Verdana" w:hAnsi="Verdana"/>
          <w:iCs/>
          <w:sz w:val="20"/>
          <w:szCs w:val="20"/>
          <w:lang w:eastAsia="en-US"/>
        </w:rPr>
        <w:t>quaisquer</w:t>
      </w:r>
      <w:r>
        <w:rPr>
          <w:rFonts w:cs="Arial" w:ascii="Verdana" w:hAnsi="Verdana"/>
          <w:sz w:val="20"/>
          <w:szCs w:val="20"/>
        </w:rPr>
        <w:t xml:space="preserve"> dos </w:t>
      </w:r>
      <w:r>
        <w:rPr>
          <w:rFonts w:cs="Arial" w:ascii="Verdana" w:hAnsi="Verdana"/>
          <w:bCs/>
          <w:sz w:val="20"/>
          <w:szCs w:val="20"/>
        </w:rPr>
        <w:t>documentos</w:t>
      </w:r>
      <w:r>
        <w:rPr>
          <w:rFonts w:cs="Arial" w:ascii="Verdana" w:hAnsi="Verdana"/>
          <w:sz w:val="20"/>
          <w:szCs w:val="20"/>
        </w:rPr>
        <w:t xml:space="preserve"> exigidos, ou apresentá-los em desacordo com o estabelecido neste Aviso de Contratação Direta.</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57" w:after="57"/>
        <w:ind w:hanging="574" w:left="567"/>
        <w:contextualSpacing w:val="false"/>
        <w:jc w:val="both"/>
        <w:rPr>
          <w:rFonts w:ascii="Verdana" w:hAnsi="Verdana"/>
          <w:sz w:val="20"/>
          <w:szCs w:val="20"/>
        </w:rPr>
      </w:pPr>
      <w:r>
        <w:rPr>
          <w:rFonts w:cs="Arial" w:ascii="Verdana" w:hAnsi="Verdana"/>
          <w:iCs/>
          <w:sz w:val="20"/>
          <w:szCs w:val="20"/>
          <w:lang w:eastAsia="en-US"/>
        </w:rPr>
        <w:t>Constatado o atendimento às exigências de habilitação, o fornecedor será habilitado.</w:t>
      </w:r>
    </w:p>
    <w:p>
      <w:pPr>
        <w:pStyle w:val="ListParagraph"/>
        <w:spacing w:lineRule="auto" w:line="276" w:before="57" w:after="57"/>
        <w:ind w:left="567"/>
        <w:contextualSpacing w:val="false"/>
        <w:jc w:val="both"/>
        <w:rPr>
          <w:rFonts w:ascii="Verdana" w:hAnsi="Verdana" w:cs="Arial"/>
          <w:iCs/>
          <w:sz w:val="20"/>
          <w:szCs w:val="20"/>
          <w:lang w:eastAsia="en-US"/>
        </w:rPr>
      </w:pPr>
      <w:r>
        <w:rPr>
          <w:rFonts w:cs="Arial" w:ascii="Verdana" w:hAnsi="Verdana"/>
          <w:iCs/>
          <w:sz w:val="20"/>
          <w:szCs w:val="20"/>
          <w:lang w:eastAsia="en-US"/>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CONTRATAÇÃO</w:t>
      </w:r>
    </w:p>
    <w:p>
      <w:pPr>
        <w:pStyle w:val="Normal"/>
        <w:numPr>
          <w:ilvl w:val="1"/>
          <w:numId w:val="1"/>
        </w:numPr>
        <w:tabs>
          <w:tab w:val="clear" w:pos="708"/>
          <w:tab w:val="left" w:pos="574" w:leader="none"/>
        </w:tabs>
        <w:spacing w:lineRule="auto" w:line="276" w:before="57" w:after="57"/>
        <w:ind w:hanging="0" w:left="0"/>
        <w:jc w:val="both"/>
        <w:rPr>
          <w:rFonts w:ascii="Verdana" w:hAnsi="Verdana"/>
          <w:sz w:val="20"/>
          <w:szCs w:val="20"/>
        </w:rPr>
      </w:pPr>
      <w:r>
        <w:rPr>
          <w:rFonts w:eastAsia="Arial" w:cs="Arial" w:ascii="Verdana" w:hAnsi="Verdana"/>
          <w:sz w:val="20"/>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57" w:after="57"/>
        <w:ind w:hanging="0" w:left="0"/>
        <w:jc w:val="both"/>
        <w:rPr>
          <w:rFonts w:ascii="Verdana" w:hAnsi="Verdana"/>
          <w:sz w:val="20"/>
          <w:szCs w:val="20"/>
        </w:rPr>
      </w:pPr>
      <w:r>
        <w:rPr>
          <w:rFonts w:eastAsia="Arial" w:cs="Arial" w:ascii="Verdana" w:hAnsi="Verdana"/>
          <w:sz w:val="20"/>
          <w:szCs w:val="20"/>
        </w:rPr>
        <w:t xml:space="preserve">O adjudicatário terá o prazo de </w:t>
      </w:r>
      <w:r>
        <w:rPr>
          <w:rFonts w:eastAsia="Arial" w:cs="Arial" w:ascii="Verdana" w:hAnsi="Verdana"/>
          <w:b/>
          <w:bCs/>
          <w:sz w:val="20"/>
          <w:szCs w:val="20"/>
        </w:rPr>
        <w:t>05 (cinco) dias úteis</w:t>
      </w:r>
      <w:r>
        <w:rPr>
          <w:rFonts w:eastAsia="Arial" w:cs="Arial" w:ascii="Verdana" w:hAnsi="Verdana"/>
          <w:sz w:val="20"/>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eastAsia="Arial" w:cs="Arial" w:ascii="Verdana" w:hAnsi="Verdana"/>
          <w:iCs/>
          <w:sz w:val="20"/>
          <w:szCs w:val="20"/>
        </w:rPr>
        <w:t xml:space="preserve">Alternativamente à convocação para comparecer perante o órgão ou entidade para a </w:t>
      </w:r>
      <w:r>
        <w:rPr>
          <w:rFonts w:cs="Arial" w:ascii="Verdana" w:hAnsi="Verdana"/>
          <w:sz w:val="20"/>
          <w:szCs w:val="20"/>
        </w:rPr>
        <w:t>assinatura</w:t>
      </w:r>
      <w:r>
        <w:rPr>
          <w:rFonts w:eastAsia="Arial" w:cs="Arial" w:ascii="Verdana" w:hAnsi="Verdana"/>
          <w:iCs/>
          <w:sz w:val="20"/>
          <w:szCs w:val="20"/>
        </w:rPr>
        <w:t xml:space="preserve">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eastAsia="Arial" w:cs="Arial" w:ascii="Verdana" w:hAnsi="Verdana"/>
          <w:sz w:val="20"/>
          <w:szCs w:val="20"/>
        </w:rPr>
        <w:t xml:space="preserve">O prazo previsto para assinatura do contrato ou aceitação da nota de empenho ou </w:t>
      </w:r>
      <w:r>
        <w:rPr>
          <w:rFonts w:cs="Arial" w:ascii="Verdana" w:hAnsi="Verdana"/>
          <w:sz w:val="20"/>
          <w:szCs w:val="20"/>
        </w:rPr>
        <w:t>instrumento</w:t>
      </w:r>
      <w:r>
        <w:rPr>
          <w:rFonts w:eastAsia="Arial" w:cs="Arial" w:ascii="Verdana" w:hAnsi="Verdana"/>
          <w:sz w:val="20"/>
          <w:szCs w:val="20"/>
        </w:rPr>
        <w:t xml:space="preserve"> equivalente poderá ser prorrogado </w:t>
      </w:r>
      <w:r>
        <w:rPr>
          <w:rFonts w:cs="Times New Roman" w:ascii="Verdana" w:hAnsi="Verdana"/>
          <w:bCs/>
          <w:sz w:val="20"/>
          <w:szCs w:val="20"/>
        </w:rPr>
        <w:t>1 (uma) vez</w:t>
      </w:r>
      <w:r>
        <w:rPr>
          <w:rFonts w:eastAsia="Arial" w:cs="Arial" w:ascii="Verdana" w:hAnsi="Verdana"/>
          <w:sz w:val="20"/>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57" w:after="57"/>
        <w:ind w:hanging="0" w:left="0"/>
        <w:jc w:val="both"/>
        <w:rPr>
          <w:rFonts w:ascii="Verdana" w:hAnsi="Verdana"/>
          <w:sz w:val="20"/>
          <w:szCs w:val="20"/>
        </w:rPr>
      </w:pPr>
      <w:r>
        <w:rPr>
          <w:rFonts w:eastAsia="Arial" w:cs="Arial" w:ascii="Verdana" w:hAnsi="Verdana"/>
          <w:iCs/>
          <w:sz w:val="20"/>
          <w:szCs w:val="20"/>
        </w:rPr>
        <w:t>O Aceite da Nota de Empenho ou do instrumento equivalente, emitida à empresa adjudicada, implica o reconhecimento de que:</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Referida</w:t>
      </w:r>
      <w:r>
        <w:rPr>
          <w:rFonts w:eastAsia="Arial" w:cs="Arial" w:ascii="Verdana" w:hAnsi="Verdana"/>
          <w:iCs/>
          <w:sz w:val="20"/>
          <w:szCs w:val="20"/>
        </w:rPr>
        <w:t xml:space="preserve"> Nota ou instrumento equivalente está substituindo o contrato, aplicando-se à relação de negócios ali estabelecida as disposições da Lei nº 14.133, de 2021;</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eastAsia="Arial" w:cs="Arial" w:ascii="Verdana" w:hAnsi="Verdana"/>
          <w:iCs/>
          <w:sz w:val="20"/>
          <w:szCs w:val="20"/>
        </w:rPr>
        <w:t xml:space="preserve">A contratada se vincula à sua proposta e às previsões contidas no Aviso de </w:t>
      </w:r>
      <w:r>
        <w:rPr>
          <w:rFonts w:cs="Arial" w:ascii="Verdana" w:hAnsi="Verdana"/>
          <w:sz w:val="20"/>
          <w:szCs w:val="20"/>
        </w:rPr>
        <w:t>Contratação</w:t>
      </w:r>
      <w:r>
        <w:rPr>
          <w:rFonts w:eastAsia="Arial" w:cs="Arial" w:ascii="Verdana" w:hAnsi="Verdana"/>
          <w:iCs/>
          <w:sz w:val="20"/>
          <w:szCs w:val="20"/>
        </w:rPr>
        <w:t xml:space="preserve"> Direta e seus anexos;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eastAsia="Arial" w:cs="Arial" w:ascii="Verdana" w:hAnsi="Verdana"/>
          <w:iCs/>
          <w:sz w:val="20"/>
          <w:szCs w:val="20"/>
        </w:rPr>
        <w:t xml:space="preserve">A </w:t>
      </w:r>
      <w:r>
        <w:rPr>
          <w:rFonts w:cs="Arial" w:ascii="Verdana" w:hAnsi="Verdana"/>
          <w:sz w:val="20"/>
          <w:szCs w:val="20"/>
        </w:rPr>
        <w:t>contratada</w:t>
      </w:r>
      <w:r>
        <w:rPr>
          <w:rFonts w:eastAsia="Arial" w:cs="Arial" w:ascii="Verdana" w:hAnsi="Verdana"/>
          <w:iCs/>
          <w:sz w:val="20"/>
          <w:szCs w:val="20"/>
        </w:rPr>
        <w:t xml:space="preserve">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eastAsia="Arial" w:cs="Arial" w:ascii="Verdana" w:hAnsi="Verdana"/>
          <w:sz w:val="20"/>
          <w:szCs w:val="20"/>
        </w:rPr>
        <w:t xml:space="preserve">O prazo de vigência da contratação é de </w:t>
      </w:r>
      <w:r>
        <w:rPr>
          <w:rFonts w:eastAsia="Arial" w:cs="Arial" w:ascii="Verdana" w:hAnsi="Verdana"/>
          <w:b/>
          <w:bCs/>
          <w:sz w:val="20"/>
          <w:szCs w:val="20"/>
        </w:rPr>
        <w:t>30 (trinta) dias</w:t>
      </w:r>
      <w:r>
        <w:rPr>
          <w:rFonts w:eastAsia="Arial" w:cs="Arial" w:ascii="Verdana" w:hAnsi="Verdana"/>
          <w:sz w:val="20"/>
          <w:szCs w:val="20"/>
        </w:rPr>
        <w:t xml:space="preserve"> </w:t>
      </w:r>
      <w:r>
        <w:rPr>
          <w:rFonts w:eastAsia="Arial" w:ascii="Verdana" w:hAnsi="Verdana"/>
          <w:sz w:val="20"/>
          <w:szCs w:val="20"/>
        </w:rPr>
        <w:t>conforme previsão no Termo de Referência anexo a este Aviso de Contratação Direta.</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before="57" w:after="57"/>
        <w:jc w:val="both"/>
        <w:rPr>
          <w:rFonts w:ascii="Verdana" w:hAnsi="Verdana" w:eastAsia="Arial" w:cs="Arial"/>
          <w:sz w:val="20"/>
          <w:szCs w:val="20"/>
        </w:rPr>
      </w:pPr>
      <w:r>
        <w:rPr>
          <w:rFonts w:eastAsia="Arial" w:cs="Arial" w:ascii="Verdana" w:hAnsi="Verdana"/>
          <w:sz w:val="20"/>
          <w:szCs w:val="20"/>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SANÇÕES</w:t>
      </w:r>
    </w:p>
    <w:p>
      <w:pPr>
        <w:pStyle w:val="Normal"/>
        <w:numPr>
          <w:ilvl w:val="1"/>
          <w:numId w:val="1"/>
        </w:numPr>
        <w:tabs>
          <w:tab w:val="clear" w:pos="708"/>
          <w:tab w:val="left" w:pos="574" w:leader="none"/>
        </w:tabs>
        <w:spacing w:lineRule="auto" w:line="276" w:before="57" w:after="57"/>
        <w:ind w:hanging="0" w:left="0"/>
        <w:jc w:val="both"/>
        <w:rPr>
          <w:rFonts w:ascii="Verdana" w:hAnsi="Verdana"/>
          <w:sz w:val="20"/>
          <w:szCs w:val="20"/>
        </w:rPr>
      </w:pPr>
      <w:r>
        <w:rPr>
          <w:rFonts w:cs="Arial" w:ascii="Verdana" w:hAnsi="Verdana"/>
          <w:sz w:val="20"/>
          <w:szCs w:val="20"/>
        </w:rPr>
        <w:t xml:space="preserve">Comete infração administrativa o fornecedor que cometer quaisquer das infrações previstas no art. 155 da Lei nº 14.133, de 2021, quais sejam: </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Dar causa à inexecução parcial do contrato;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Dar causa à inexecução parcial do contrato que cause grave dano à Administração, ao funcionamento dos serviços públicos ou ao interesse coletivo;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Dar causa à inexecução total do contrato;</w:t>
      </w:r>
    </w:p>
    <w:p>
      <w:pPr>
        <w:pStyle w:val="Normal"/>
        <w:numPr>
          <w:ilvl w:val="2"/>
          <w:numId w:val="1"/>
        </w:numPr>
        <w:tabs>
          <w:tab w:val="clear" w:pos="708"/>
          <w:tab w:val="left" w:pos="567" w:leader="none"/>
        </w:tabs>
        <w:snapToGrid w:val="false"/>
        <w:spacing w:lineRule="auto" w:line="276" w:before="57" w:after="57"/>
        <w:ind w:hanging="0" w:left="567" w:right="0"/>
        <w:jc w:val="both"/>
        <w:rPr/>
      </w:pPr>
      <w:r>
        <w:rPr>
          <w:rFonts w:cs="Arial" w:ascii="Verdana" w:hAnsi="Verdana"/>
          <w:sz w:val="20"/>
          <w:szCs w:val="20"/>
        </w:rPr>
        <w:t xml:space="preserve">Deixar de </w:t>
      </w:r>
      <w:r>
        <w:rPr>
          <w:rFonts w:ascii="Verdana" w:hAnsi="Verdana"/>
          <w:szCs w:val="20"/>
        </w:rPr>
        <w:t>entregar</w:t>
      </w:r>
      <w:r>
        <w:rPr>
          <w:rFonts w:cs="Arial" w:ascii="Verdana" w:hAnsi="Verdana"/>
          <w:sz w:val="20"/>
          <w:szCs w:val="20"/>
        </w:rPr>
        <w:t xml:space="preserve"> a documentação exigida para o certame;</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Não manter a proposta, salvo em decorrência de fato superveniente devidamente justificado;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Não celebrar o contrato ou não entregar a documentação exigida para a contratação, quando convocado dentro do prazo de validade de sua proposta;</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Ensejar o retardamento da execução ou da entrega do objeto da licitação sem motivo justificado;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Apresentar declaração ou documentação falsa exigida para o certame ou prestar declaração falsa durante a dispensa eletrônica ou a execução do contrato;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Fraudar a dispensa eletrônica ou praticar ato fraudulento na execução do contrato;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Comportar-se de modo inidôneo ou cometer fraude de qualquer natureza;</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Praticar atos ilícitos com vistas a frustrar os objetivos deste certame.</w:t>
      </w:r>
    </w:p>
    <w:p>
      <w:pPr>
        <w:pStyle w:val="Normal"/>
        <w:numPr>
          <w:ilvl w:val="2"/>
          <w:numId w:val="1"/>
        </w:numPr>
        <w:tabs>
          <w:tab w:val="clear" w:pos="708"/>
          <w:tab w:val="left" w:pos="567" w:leader="none"/>
        </w:tabs>
        <w:snapToGrid w:val="false"/>
        <w:spacing w:lineRule="auto" w:line="276" w:before="57" w:after="57"/>
        <w:ind w:hanging="0" w:left="567" w:right="0"/>
        <w:jc w:val="both"/>
        <w:rPr/>
      </w:pPr>
      <w:r>
        <w:rPr>
          <w:rFonts w:cs="Arial" w:ascii="Verdana" w:hAnsi="Verdana"/>
          <w:sz w:val="20"/>
          <w:szCs w:val="20"/>
        </w:rPr>
        <w:t>praticar ato lesivo previsto no </w:t>
      </w:r>
      <w:r>
        <w:fldChar w:fldCharType="begin"/>
      </w:r>
      <w:r>
        <w:rPr>
          <w:rStyle w:val="ListLabel49"/>
          <w:sz w:val="20"/>
          <w:szCs w:val="20"/>
          <w:rFonts w:ascii="Verdana" w:hAnsi="Verdana"/>
        </w:rPr>
        <w:instrText xml:space="preserve"> HYPERLINK "http://www.planalto.gov.br/ccivil_03/_Ato2011-2014/2013/Lei/L12846.htm" \l "art5"</w:instrText>
      </w:r>
      <w:r>
        <w:rPr>
          <w:rStyle w:val="ListLabel49"/>
          <w:sz w:val="20"/>
          <w:szCs w:val="20"/>
          <w:rFonts w:ascii="Verdana" w:hAnsi="Verdana"/>
        </w:rPr>
        <w:fldChar w:fldCharType="separate"/>
      </w:r>
      <w:r>
        <w:rPr>
          <w:rStyle w:val="ListLabel49"/>
          <w:rFonts w:ascii="Verdana" w:hAnsi="Verdana"/>
          <w:sz w:val="20"/>
          <w:szCs w:val="20"/>
        </w:rPr>
        <w:t>art. 5º da Lei nº 12.846, de 1º de agosto de 2013.</w:t>
      </w:r>
      <w:r>
        <w:rPr>
          <w:rStyle w:val="ListLabel49"/>
          <w:sz w:val="20"/>
          <w:szCs w:val="20"/>
          <w:rFonts w:ascii="Verdana" w:hAnsi="Verdana"/>
        </w:rPr>
        <w:fldChar w:fldCharType="end"/>
      </w:r>
    </w:p>
    <w:p>
      <w:pPr>
        <w:pStyle w:val="Normal"/>
        <w:numPr>
          <w:ilvl w:val="1"/>
          <w:numId w:val="1"/>
        </w:numPr>
        <w:tabs>
          <w:tab w:val="clear" w:pos="708"/>
          <w:tab w:val="left" w:pos="574" w:leader="none"/>
        </w:tabs>
        <w:spacing w:lineRule="auto" w:line="276" w:before="57" w:after="57"/>
        <w:ind w:hanging="0" w:left="0"/>
        <w:jc w:val="both"/>
        <w:rPr>
          <w:rFonts w:ascii="Verdana" w:hAnsi="Verdana"/>
          <w:sz w:val="20"/>
          <w:szCs w:val="20"/>
        </w:rPr>
      </w:pPr>
      <w:r>
        <w:rPr>
          <w:rFonts w:cs="Arial" w:ascii="Verdana" w:hAnsi="Verdana"/>
          <w:sz w:val="20"/>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57" w:after="57"/>
        <w:jc w:val="both"/>
        <w:rPr>
          <w:rFonts w:ascii="Verdana" w:hAnsi="Verdana"/>
          <w:sz w:val="20"/>
          <w:szCs w:val="20"/>
        </w:rPr>
      </w:pPr>
      <w:r>
        <w:rPr>
          <w:rFonts w:cs="Arial" w:ascii="Verdana" w:hAnsi="Verdana"/>
          <w:sz w:val="20"/>
          <w:szCs w:val="20"/>
        </w:rPr>
        <w:t>Advertência pela falta do subitem 8.1.1 deste Aviso de Contratação Direta,</w:t>
      </w:r>
      <w:r>
        <w:rPr>
          <w:rFonts w:ascii="Verdana" w:hAnsi="Verdana"/>
          <w:sz w:val="20"/>
          <w:szCs w:val="20"/>
        </w:rPr>
        <w:t xml:space="preserve"> </w:t>
      </w:r>
      <w:r>
        <w:rPr>
          <w:rFonts w:cs="Arial" w:ascii="Verdana" w:hAnsi="Verdana"/>
          <w:sz w:val="20"/>
          <w:szCs w:val="20"/>
        </w:rPr>
        <w:t>quando não se justificar a imposição de penalidade mais grave;</w:t>
      </w:r>
    </w:p>
    <w:p>
      <w:pPr>
        <w:pStyle w:val="Normal"/>
        <w:numPr>
          <w:ilvl w:val="2"/>
          <w:numId w:val="3"/>
        </w:numPr>
        <w:spacing w:lineRule="auto" w:line="276" w:before="57" w:after="57"/>
        <w:jc w:val="both"/>
        <w:rPr>
          <w:rFonts w:ascii="Verdana" w:hAnsi="Verdana"/>
          <w:sz w:val="20"/>
          <w:szCs w:val="20"/>
        </w:rPr>
      </w:pPr>
      <w:r>
        <w:rPr>
          <w:rFonts w:cs="Arial" w:ascii="Verdana" w:hAnsi="Verdana"/>
          <w:sz w:val="20"/>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before="57" w:after="57"/>
        <w:jc w:val="both"/>
        <w:rPr>
          <w:rFonts w:ascii="Verdana" w:hAnsi="Verdana"/>
          <w:sz w:val="20"/>
          <w:szCs w:val="20"/>
        </w:rPr>
      </w:pPr>
      <w:r>
        <w:rPr>
          <w:rFonts w:cs="Arial" w:ascii="Verdana" w:hAnsi="Verdana"/>
          <w:sz w:val="2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before="57" w:after="57"/>
        <w:jc w:val="both"/>
        <w:rPr>
          <w:rFonts w:ascii="Verdana" w:hAnsi="Verdana"/>
          <w:sz w:val="20"/>
          <w:szCs w:val="20"/>
        </w:rPr>
      </w:pPr>
      <w:r>
        <w:rPr>
          <w:rFonts w:cs="Arial" w:ascii="Verdana" w:hAnsi="Verdana"/>
          <w:sz w:val="2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bCs/>
          <w:sz w:val="20"/>
          <w:szCs w:val="20"/>
        </w:rPr>
        <w:t>Na aplicação das sanções serão considerados: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bCs/>
          <w:sz w:val="20"/>
          <w:szCs w:val="20"/>
        </w:rPr>
        <w:t>A nat</w:t>
      </w:r>
      <w:r>
        <w:rPr>
          <w:rFonts w:cs="Arial" w:ascii="Verdana" w:hAnsi="Verdana"/>
          <w:sz w:val="20"/>
          <w:szCs w:val="20"/>
        </w:rPr>
        <w:t>ureza e a gravidade da infração cometida;</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cs="Arial"/>
          <w:sz w:val="20"/>
          <w:szCs w:val="20"/>
        </w:rPr>
      </w:pPr>
      <w:r>
        <w:rPr>
          <w:rFonts w:cs="Arial" w:ascii="Verdana" w:hAnsi="Verdana"/>
          <w:sz w:val="20"/>
          <w:szCs w:val="20"/>
        </w:rPr>
        <w:t>As peculiaridades do caso concreto;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cs="Arial"/>
          <w:sz w:val="20"/>
          <w:szCs w:val="20"/>
        </w:rPr>
      </w:pPr>
      <w:r>
        <w:rPr>
          <w:rFonts w:cs="Arial" w:ascii="Verdana" w:hAnsi="Verdana"/>
          <w:sz w:val="20"/>
          <w:szCs w:val="20"/>
        </w:rPr>
        <w:t>As circunstâncias agravantes ou atenuantes;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cs="Arial"/>
          <w:sz w:val="20"/>
          <w:szCs w:val="20"/>
        </w:rPr>
      </w:pPr>
      <w:r>
        <w:rPr>
          <w:rFonts w:cs="Arial" w:ascii="Verdana" w:hAnsi="Verdana"/>
          <w:sz w:val="20"/>
          <w:szCs w:val="20"/>
        </w:rPr>
        <w:t>Os danos que dela provierem para a Administração Pública;</w:t>
      </w:r>
    </w:p>
    <w:p>
      <w:pPr>
        <w:pStyle w:val="Normal"/>
        <w:numPr>
          <w:ilvl w:val="2"/>
          <w:numId w:val="1"/>
        </w:numPr>
        <w:tabs>
          <w:tab w:val="clear" w:pos="708"/>
          <w:tab w:val="left" w:pos="567" w:leader="none"/>
        </w:tabs>
        <w:snapToGrid w:val="false"/>
        <w:spacing w:lineRule="auto" w:line="276" w:before="57" w:after="57"/>
        <w:ind w:hanging="0" w:left="567" w:right="0"/>
        <w:jc w:val="both"/>
        <w:rPr>
          <w:rFonts w:cs="Arial"/>
          <w:bCs/>
        </w:rPr>
      </w:pPr>
      <w:r>
        <w:rPr>
          <w:rFonts w:cs="Arial" w:ascii="Verdana" w:hAnsi="Verdana"/>
          <w:sz w:val="20"/>
          <w:szCs w:val="20"/>
        </w:rPr>
        <w:t>A imp</w:t>
      </w:r>
      <w:r>
        <w:rPr>
          <w:rFonts w:cs="Arial" w:ascii="Verdana" w:hAnsi="Verdana"/>
          <w:bCs/>
          <w:sz w:val="20"/>
          <w:szCs w:val="20"/>
        </w:rPr>
        <w:t>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bookmarkStart w:id="3" w:name="art156%252525252525C2%252525252525A78"/>
      <w:bookmarkStart w:id="4" w:name="art156%252525252525C2%252525252525A77"/>
      <w:bookmarkStart w:id="5" w:name="art156%252525252525C2%252525252525A76"/>
      <w:bookmarkEnd w:id="3"/>
      <w:bookmarkEnd w:id="4"/>
      <w:bookmarkEnd w:id="5"/>
      <w:r>
        <w:rPr>
          <w:rFonts w:cs="Arial" w:ascii="Verdana" w:hAnsi="Verdana"/>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25C2%252525252525A79"/>
      <w:bookmarkEnd w:id="6"/>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57" w:after="57"/>
        <w:ind w:hanging="0" w:left="0"/>
        <w:jc w:val="both"/>
        <w:rPr>
          <w:rFonts w:ascii="Verdana" w:hAnsi="Verdana"/>
          <w:sz w:val="20"/>
          <w:szCs w:val="20"/>
        </w:rPr>
      </w:pPr>
      <w:r>
        <w:rPr>
          <w:rFonts w:cs="Arial" w:ascii="Verdana" w:hAnsi="Verdana"/>
          <w:sz w:val="20"/>
          <w:szCs w:val="20"/>
        </w:rPr>
        <w:t>As sanções por atos praticados no decorrer da contratação estão previstas nos anexos a este Aviso.</w:t>
      </w:r>
    </w:p>
    <w:p>
      <w:pPr>
        <w:pStyle w:val="Normal"/>
        <w:tabs>
          <w:tab w:val="clear" w:pos="708"/>
          <w:tab w:val="left" w:pos="588" w:leader="none"/>
        </w:tabs>
        <w:spacing w:lineRule="auto" w:line="276" w:before="57" w:after="57"/>
        <w:ind w:hanging="0" w:left="0"/>
        <w:jc w:val="both"/>
        <w:rPr>
          <w:rFonts w:cs="Arial"/>
        </w:rPr>
      </w:pPr>
      <w:r>
        <w:rPr>
          <w:rFonts w:cs="Arial"/>
        </w:rPr>
      </w:r>
    </w:p>
    <w:p>
      <w:pPr>
        <w:pStyle w:val="PADRO"/>
        <w:keepNext w:val="false"/>
        <w:widowControl/>
        <w:numPr>
          <w:ilvl w:val="0"/>
          <w:numId w:val="1"/>
        </w:numPr>
        <w:shd w:val="clear" w:color="auto" w:fill="auto"/>
        <w:spacing w:lineRule="auto" w:line="276" w:before="57" w:after="57"/>
        <w:rPr>
          <w:rFonts w:ascii="Verdana" w:hAnsi="Verdana"/>
          <w:sz w:val="20"/>
          <w:szCs w:val="20"/>
        </w:rPr>
      </w:pPr>
      <w:r>
        <w:rPr>
          <w:rFonts w:cs="Arial" w:ascii="Verdana" w:hAnsi="Verdana"/>
          <w:b/>
          <w:sz w:val="20"/>
          <w:szCs w:val="20"/>
        </w:rPr>
        <w:t>DAS DISPOSIÇÕES GERAIS</w:t>
      </w:r>
    </w:p>
    <w:p>
      <w:pPr>
        <w:pStyle w:val="Normal"/>
        <w:numPr>
          <w:ilvl w:val="1"/>
          <w:numId w:val="1"/>
        </w:numPr>
        <w:tabs>
          <w:tab w:val="clear" w:pos="708"/>
          <w:tab w:val="left" w:pos="504" w:leader="none"/>
        </w:tabs>
        <w:snapToGrid w:val="false"/>
        <w:spacing w:lineRule="auto" w:line="276" w:before="57" w:after="57"/>
        <w:ind w:hanging="0" w:left="0"/>
        <w:jc w:val="both"/>
        <w:rPr>
          <w:rFonts w:ascii="Verdana" w:hAnsi="Verdana"/>
          <w:sz w:val="20"/>
          <w:szCs w:val="20"/>
        </w:rPr>
      </w:pPr>
      <w:r>
        <w:rPr>
          <w:rFonts w:ascii="Verdana" w:hAnsi="Verdana"/>
          <w:sz w:val="20"/>
          <w:szCs w:val="20"/>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No caso de todos os fornecedores restarem desclassificados ou inabilitados (procedimento fracassado), a Administração poderá:</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Republicar o presente aviso com uma nova data;</w:t>
      </w:r>
    </w:p>
    <w:p>
      <w:pPr>
        <w:pStyle w:val="Normal"/>
        <w:numPr>
          <w:ilvl w:val="2"/>
          <w:numId w:val="1"/>
        </w:numPr>
        <w:tabs>
          <w:tab w:val="clear" w:pos="708"/>
          <w:tab w:val="left" w:pos="567" w:leader="none"/>
        </w:tabs>
        <w:snapToGrid w:val="false"/>
        <w:spacing w:lineRule="auto" w:line="276" w:before="57" w:after="57"/>
        <w:ind w:hanging="0" w:left="567" w:right="0"/>
        <w:jc w:val="both"/>
        <w:rPr>
          <w:rFonts w:cs="Arial"/>
        </w:rPr>
      </w:pPr>
      <w:r>
        <w:rPr>
          <w:rFonts w:cs="Arial" w:ascii="Verdana" w:hAnsi="Verdana"/>
          <w:sz w:val="2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widowControl/>
        <w:numPr>
          <w:ilvl w:val="3"/>
          <w:numId w:val="1"/>
        </w:numPr>
        <w:suppressAutoHyphens w:val="true"/>
        <w:bidi w:val="0"/>
        <w:spacing w:lineRule="auto" w:line="276" w:before="57" w:after="57"/>
        <w:ind w:hanging="0" w:left="1077" w:right="0"/>
        <w:jc w:val="both"/>
        <w:rPr>
          <w:rFonts w:ascii="Verdana" w:hAnsi="Verdana"/>
          <w:sz w:val="20"/>
          <w:szCs w:val="20"/>
        </w:rPr>
      </w:pPr>
      <w:r>
        <w:rPr>
          <w:rFonts w:cs="Arial" w:ascii="Verdana" w:hAnsi="Verdana"/>
          <w:sz w:val="20"/>
          <w:szCs w:val="20"/>
        </w:rPr>
        <w:t>No caso do subitem anterior, a contratação será operacionalizada fora deste procedimento.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ascii="Verdana" w:hAnsi="Verdana"/>
          <w:sz w:val="20"/>
          <w:szCs w:val="20"/>
          <w:highlight w:val="yellow"/>
        </w:rPr>
        <w:t>Os documentos solicitados (proposta ajustada, documentos de habilitação ou documentações complementares) deverão ser enviados no prazo máximo de 1h (uma hora) após o pedido, salvo: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sz w:val="20"/>
          <w:szCs w:val="20"/>
        </w:rPr>
        <w:t>Se perto do encerramento do expediente oficial, quando o agente de contratação poderá conferir prazo maior visando prosseguir a análise em dia útil subsequente;</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ascii="Verdana" w:hAnsi="Verdana"/>
          <w:sz w:val="20"/>
          <w:szCs w:val="20"/>
        </w:rPr>
        <w:t>Se pela complexidade do objeto ou tamanho do lote houver necessidade conferir prazo maior;</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ascii="Verdana" w:hAnsi="Verdana"/>
          <w:sz w:val="20"/>
          <w:szCs w:val="20"/>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Da sessão pública será divulgada Ata no sistema eletrônico.</w:t>
      </w:r>
    </w:p>
    <w:p>
      <w:pPr>
        <w:pStyle w:val="Normal"/>
        <w:numPr>
          <w:ilvl w:val="1"/>
          <w:numId w:val="1"/>
        </w:numPr>
        <w:tabs>
          <w:tab w:val="clear" w:pos="708"/>
          <w:tab w:val="left" w:pos="518" w:leader="none"/>
        </w:tabs>
        <w:spacing w:lineRule="auto" w:line="276" w:before="57" w:after="57"/>
        <w:ind w:hanging="0" w:left="0"/>
        <w:jc w:val="both"/>
        <w:rPr>
          <w:rFonts w:ascii="Verdana" w:hAnsi="Verdana"/>
          <w:sz w:val="20"/>
          <w:szCs w:val="20"/>
        </w:rPr>
      </w:pPr>
      <w:r>
        <w:rPr>
          <w:rFonts w:cs="Arial" w:ascii="Verdana" w:hAnsi="Verdana"/>
          <w:sz w:val="20"/>
          <w:szCs w:val="20"/>
        </w:rPr>
        <w:t>Integram este Aviso de Contratação Direta, para todos os fins e efeitos, os seguintes anexos:</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b/>
          <w:bCs/>
          <w:sz w:val="20"/>
          <w:szCs w:val="20"/>
        </w:rPr>
        <w:t>ANEXO I</w:t>
      </w:r>
      <w:r>
        <w:rPr>
          <w:rFonts w:cs="Arial" w:ascii="Verdana" w:hAnsi="Verdana"/>
          <w:sz w:val="20"/>
          <w:szCs w:val="20"/>
        </w:rPr>
        <w:t xml:space="preserve"> – Documentação exigida para Habilitação;</w:t>
      </w:r>
    </w:p>
    <w:p>
      <w:pPr>
        <w:pStyle w:val="Normal"/>
        <w:numPr>
          <w:ilvl w:val="2"/>
          <w:numId w:val="1"/>
        </w:numPr>
        <w:tabs>
          <w:tab w:val="clear" w:pos="708"/>
          <w:tab w:val="left" w:pos="567" w:leader="none"/>
        </w:tabs>
        <w:snapToGrid w:val="false"/>
        <w:spacing w:lineRule="auto" w:line="276" w:before="57" w:after="57"/>
        <w:ind w:hanging="0" w:left="567" w:right="0"/>
        <w:jc w:val="both"/>
        <w:rPr>
          <w:rFonts w:ascii="Verdana" w:hAnsi="Verdana"/>
          <w:sz w:val="20"/>
          <w:szCs w:val="20"/>
        </w:rPr>
      </w:pPr>
      <w:r>
        <w:rPr>
          <w:rFonts w:cs="Arial" w:ascii="Verdana" w:hAnsi="Verdana"/>
          <w:b/>
          <w:bCs/>
          <w:sz w:val="20"/>
          <w:szCs w:val="20"/>
        </w:rPr>
        <w:t>ANEXO II</w:t>
      </w:r>
      <w:r>
        <w:rPr>
          <w:rFonts w:cs="Arial" w:ascii="Verdana" w:hAnsi="Verdana"/>
          <w:sz w:val="20"/>
          <w:szCs w:val="20"/>
        </w:rPr>
        <w:t xml:space="preserve"> – Termo de Referência;</w:t>
      </w:r>
    </w:p>
    <w:p>
      <w:pPr>
        <w:pStyle w:val="ListParagraph"/>
        <w:tabs>
          <w:tab w:val="clear" w:pos="708"/>
          <w:tab w:val="left" w:pos="1560" w:leader="none"/>
        </w:tabs>
        <w:spacing w:lineRule="auto" w:line="276" w:before="57" w:after="57"/>
        <w:ind w:left="360"/>
        <w:contextualSpacing w:val="false"/>
        <w:jc w:val="both"/>
        <w:rPr>
          <w:rFonts w:ascii="Verdana" w:hAnsi="Verdana"/>
          <w:sz w:val="20"/>
          <w:szCs w:val="20"/>
        </w:rPr>
      </w:pPr>
      <w:r>
        <w:rPr>
          <w:rFonts w:cs="Arial" w:ascii="Verdana" w:hAnsi="Verdana"/>
          <w:b/>
          <w:bCs/>
          <w:sz w:val="20"/>
          <w:szCs w:val="20"/>
        </w:rPr>
        <w:tab/>
        <w:t>9.15.2.1 ANEXO II-1</w:t>
      </w:r>
      <w:r>
        <w:rPr>
          <w:rFonts w:cs="Arial" w:ascii="Verdana" w:hAnsi="Verdana"/>
          <w:sz w:val="20"/>
          <w:szCs w:val="20"/>
        </w:rPr>
        <w:t xml:space="preserve"> – Estudo Técnico Preliminar;</w:t>
      </w:r>
    </w:p>
    <w:p>
      <w:pPr>
        <w:pStyle w:val="ListParagraph"/>
        <w:tabs>
          <w:tab w:val="clear" w:pos="708"/>
          <w:tab w:val="left" w:pos="1560" w:leader="none"/>
        </w:tabs>
        <w:spacing w:lineRule="auto" w:line="276" w:before="57" w:after="57"/>
        <w:ind w:left="360"/>
        <w:contextualSpacing w:val="false"/>
        <w:jc w:val="both"/>
        <w:rPr>
          <w:rFonts w:ascii="Verdana" w:hAnsi="Verdana"/>
          <w:sz w:val="20"/>
          <w:szCs w:val="20"/>
        </w:rPr>
      </w:pPr>
      <w:r>
        <w:rPr>
          <w:rFonts w:cs="Arial" w:ascii="Verdana" w:hAnsi="Verdana"/>
          <w:b/>
          <w:bCs/>
          <w:sz w:val="20"/>
          <w:szCs w:val="20"/>
        </w:rPr>
        <w:tab/>
        <w:t>9.15.2.2 ANEXO II-2</w:t>
      </w:r>
      <w:r>
        <w:rPr>
          <w:rFonts w:cs="Arial" w:ascii="Verdana" w:hAnsi="Verdana"/>
          <w:sz w:val="20"/>
          <w:szCs w:val="20"/>
        </w:rPr>
        <w:t xml:space="preserve"> – Modelo de Proposta.</w:t>
      </w:r>
    </w:p>
    <w:p>
      <w:pPr>
        <w:pStyle w:val="Normal"/>
        <w:tabs>
          <w:tab w:val="clear" w:pos="708"/>
          <w:tab w:val="left" w:pos="1560" w:leader="none"/>
        </w:tabs>
        <w:spacing w:lineRule="auto" w:line="276" w:before="57" w:after="57"/>
        <w:ind w:left="1224"/>
        <w:jc w:val="both"/>
        <w:rPr>
          <w:rFonts w:ascii="Verdana" w:hAnsi="Verdana" w:cs="Arial"/>
          <w:sz w:val="20"/>
          <w:szCs w:val="20"/>
        </w:rPr>
      </w:pPr>
      <w:r>
        <w:rPr>
          <w:rFonts w:cs="Arial" w:ascii="Verdana" w:hAnsi="Verdana"/>
          <w:sz w:val="20"/>
          <w:szCs w:val="20"/>
        </w:rPr>
      </w:r>
    </w:p>
    <w:p>
      <w:pPr>
        <w:pStyle w:val="Normal"/>
        <w:spacing w:lineRule="auto" w:line="276" w:before="57" w:after="57"/>
        <w:ind w:left="360" w:right="-15"/>
        <w:jc w:val="center"/>
        <w:rPr>
          <w:rFonts w:ascii="Verdana" w:hAnsi="Verdana"/>
          <w:sz w:val="20"/>
          <w:szCs w:val="20"/>
        </w:rPr>
      </w:pPr>
      <w:r>
        <w:rPr>
          <w:rFonts w:cs="Arial" w:ascii="Verdana" w:hAnsi="Verdana"/>
          <w:sz w:val="20"/>
          <w:szCs w:val="20"/>
        </w:rPr>
        <w:t>São Gabriel da Palha – ES, 13 de dezembro de 2024.</w:t>
      </w:r>
    </w:p>
    <w:p>
      <w:pPr>
        <w:pStyle w:val="Normal"/>
        <w:spacing w:lineRule="auto" w:line="276" w:before="57" w:after="57"/>
        <w:ind w:left="360" w:right="-15"/>
        <w:jc w:val="center"/>
        <w:rPr>
          <w:rFonts w:ascii="Verdana" w:hAnsi="Verdana" w:cs="Arial"/>
          <w:sz w:val="20"/>
          <w:szCs w:val="20"/>
        </w:rPr>
      </w:pPr>
      <w:r>
        <w:rPr>
          <w:rFonts w:cs="Arial" w:ascii="Verdana" w:hAnsi="Verdana"/>
          <w:sz w:val="20"/>
          <w:szCs w:val="20"/>
        </w:rPr>
      </w:r>
    </w:p>
    <w:p>
      <w:pPr>
        <w:pStyle w:val="Normal"/>
        <w:spacing w:lineRule="auto" w:line="276" w:before="57" w:after="57"/>
        <w:ind w:left="360" w:right="-15"/>
        <w:jc w:val="center"/>
        <w:rPr>
          <w:rFonts w:ascii="Verdana" w:hAnsi="Verdana" w:cs="Arial"/>
          <w:sz w:val="20"/>
          <w:szCs w:val="20"/>
        </w:rPr>
      </w:pPr>
      <w:r>
        <w:rPr>
          <w:rFonts w:cs="Arial" w:ascii="Verdana" w:hAnsi="Verdana"/>
          <w:sz w:val="20"/>
          <w:szCs w:val="20"/>
        </w:rPr>
      </w:r>
    </w:p>
    <w:p>
      <w:pPr>
        <w:pStyle w:val="Normal"/>
        <w:spacing w:lineRule="auto" w:line="276" w:before="57" w:after="57"/>
        <w:jc w:val="center"/>
        <w:rPr>
          <w:rFonts w:ascii="Verdana" w:hAnsi="Verdana"/>
          <w:sz w:val="20"/>
          <w:szCs w:val="20"/>
        </w:rPr>
      </w:pPr>
      <w:r>
        <w:rPr>
          <w:rFonts w:cs="Arial" w:ascii="Verdana" w:hAnsi="Verdana"/>
          <w:b/>
          <w:bCs/>
          <w:iCs/>
          <w:sz w:val="20"/>
          <w:szCs w:val="20"/>
        </w:rPr>
        <w:t>ERLITON DE MELLO BRAZ</w:t>
      </w:r>
    </w:p>
    <w:p>
      <w:pPr>
        <w:pStyle w:val="Normal"/>
        <w:spacing w:lineRule="auto" w:line="276" w:before="57" w:after="57"/>
        <w:jc w:val="center"/>
        <w:rPr>
          <w:rFonts w:ascii="Verdana" w:hAnsi="Verdana"/>
          <w:sz w:val="20"/>
          <w:szCs w:val="20"/>
        </w:rPr>
      </w:pPr>
      <w:r>
        <w:rPr>
          <w:rFonts w:cs="Arial" w:ascii="Verdana" w:hAnsi="Verdana"/>
          <w:b/>
          <w:bCs/>
          <w:iCs/>
          <w:sz w:val="20"/>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709"/>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17,1905" path="m0,8l0,8xm6,1l0,8l7,0l6,1xm0,8l0,8xm1915,1904l0,8l1916,1903l1915,1904xe" stroked="f" o:allowincell="f" style="position:absolute;margin-left:0.05pt;margin-top:0pt;width:54.25pt;height:53.9pt;mso-wrap-style:none;v-text-anchor:middle;mso-position-horizontal:center;mso-position-horizontal-relative:margin;mso-position-vertical:center;mso-position-vertical-relative:margin">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shape_0" adj="10800" fillcolor="white" stroked="f" o:allowincell="f" style="position:absolute;margin-left:243.45pt;margin-top:367.2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1" distT="0" distB="0" distL="114935" distR="114935" simplePos="0" locked="0" layoutInCell="0" allowOverlap="1" relativeHeight="11">
          <wp:simplePos x="0" y="0"/>
          <wp:positionH relativeFrom="column">
            <wp:posOffset>175260</wp:posOffset>
          </wp:positionH>
          <wp:positionV relativeFrom="paragraph">
            <wp:posOffset>-86360</wp:posOffset>
          </wp:positionV>
          <wp:extent cx="647700" cy="542925"/>
          <wp:effectExtent l="0" t="0" r="0" b="0"/>
          <wp:wrapSquare wrapText="bothSides"/>
          <wp:docPr id="4"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 id="PowerPlusWaterMarkObject259915283" o:spid="shape_0" adj="10800" fillcolor="white" stroked="f" o:allowincell="f" style="position:absolute;margin-left:243.45pt;margin-top:367.2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InternetLink">
    <w:name w:val="Internet Link"/>
    <w:basedOn w:val="DefaultParagraphFont"/>
    <w:unhideWhenUsed/>
    <w:qFormat/>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character" w:styleId="PargrafodaListaChar" w:customStyle="1">
    <w:name w:val="Parágrafo da Lista Char"/>
    <w:link w:val="ListParagraph"/>
    <w:qFormat/>
    <w:locked/>
    <w:rsid w:val="001d792a"/>
    <w:rPr>
      <w:rFonts w:ascii="Arial" w:hAnsi="Arial" w:eastAsia="Times New Roman" w:cs="Tahoma"/>
      <w:szCs w:val="24"/>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right="-15"/>
      <w:jc w:val="both"/>
    </w:pPr>
    <w:rPr>
      <w:rFonts w:ascii="Arial" w:hAnsi="Arial" w:cs="Times New Roman"/>
      <w:b/>
      <w:bCs/>
      <w:color w:themeColor="accent1" w:themeShade="bf"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link w:val="PargrafodaListaChar"/>
    <w:qFormat/>
    <w:rsid w:val="006a70c8"/>
    <w:pPr>
      <w:spacing w:before="0" w:after="0"/>
      <w:ind w:lef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left="644"/>
      <w:jc w:val="both"/>
    </w:pPr>
    <w:rPr>
      <w:rFonts w:ascii="Arial" w:hAnsi="Arial" w:cs="Times New Roman"/>
      <w:b/>
      <w:color w:themeColor="accent1" w:themeShade="bf"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right="-30"/>
      <w:jc w:val="both"/>
    </w:pPr>
    <w:rPr>
      <w:rFonts w:ascii="Arial" w:hAnsi="Arial" w:eastAsia="Times New Roman" w:cs="Arial"/>
      <w:b/>
      <w:color w:themeColor="accent1" w:themeShade="bf" w:val="000000"/>
      <w:sz w:val="24"/>
      <w:szCs w:val="24"/>
    </w:rPr>
  </w:style>
  <w:style w:type="paragraph" w:styleId="TableParagraph" w:customStyle="1">
    <w:name w:val="Table Paragraph"/>
    <w:basedOn w:val="Normal"/>
    <w:qFormat/>
    <w:rsid w:val="00d86e4d"/>
    <w:pPr>
      <w:widowControl w:val="false"/>
      <w:suppressAutoHyphens w:val="false"/>
    </w:pPr>
    <w:rPr>
      <w:rFonts w:ascii="Calibri" w:hAnsi="Calibri" w:eastAsia="Calibri" w:cs="Calibri"/>
      <w:sz w:val="22"/>
      <w:szCs w:val="22"/>
      <w:lang w:val="pt-PT" w:eastAsia="en-US"/>
    </w:rPr>
  </w:style>
  <w:style w:type="paragraph" w:styleId="Contedodoquadro">
    <w:name w:val="Conteúdo do quadro"/>
    <w:basedOn w:val="Normal"/>
    <w:qFormat/>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Application>LibreOffice/24.2.6.2$Windows_X86_64 LibreOffice_project/ef66aa7e36a1bb8e65bfbc63aba53045a14d0871</Application>
  <AppVersion>15.0000</AppVersion>
  <Pages>10</Pages>
  <Words>4567</Words>
  <Characters>26298</Characters>
  <CharactersWithSpaces>30547</CharactersWithSpaces>
  <Paragraphs>193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2024-12-18T15:51:44Z</cp:lastPrinted>
  <dcterms:modified xsi:type="dcterms:W3CDTF">2024-12-19T14:11:58Z</dcterms:modified>
  <cp:revision>62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